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B6303" w14:textId="4F001B59" w:rsidR="00173270" w:rsidRDefault="00173270" w:rsidP="00173270">
      <w:pPr>
        <w:spacing w:line="192" w:lineRule="auto"/>
        <w:jc w:val="center"/>
        <w:rPr>
          <w:rFonts w:ascii="Calibri" w:hAnsi="Calibri" w:cs="Calibri"/>
          <w:b/>
          <w:bCs/>
          <w:color w:val="FFFFFF" w:themeColor="background1"/>
          <w:sz w:val="52"/>
          <w:szCs w:val="52"/>
        </w:rPr>
      </w:pPr>
      <w:r>
        <w:rPr>
          <w:rFonts w:ascii="Calibri" w:hAnsi="Calibri" w:cs="Calibri"/>
          <w:b/>
          <w:bCs/>
          <w:sz w:val="24"/>
          <w:szCs w:val="24"/>
        </w:rPr>
        <w:tab/>
      </w:r>
      <w:r w:rsidRPr="00173270">
        <w:rPr>
          <w:rFonts w:ascii="Calibri" w:hAnsi="Calibri" w:cs="Calibri"/>
          <w:b/>
          <w:bCs/>
          <w:i/>
          <w:iCs/>
          <w:noProof/>
          <w:color w:val="156082" w:themeColor="accent1"/>
          <w:lang w:val="en-GB"/>
        </w:rPr>
        <w:drawing>
          <wp:anchor distT="0" distB="0" distL="114300" distR="114300" simplePos="0" relativeHeight="251658240" behindDoc="1" locked="0" layoutInCell="1" allowOverlap="1" wp14:anchorId="748B5F79" wp14:editId="659B605E">
            <wp:simplePos x="0" y="0"/>
            <wp:positionH relativeFrom="margin">
              <wp:align>center</wp:align>
            </wp:positionH>
            <wp:positionV relativeFrom="paragraph">
              <wp:posOffset>-889154</wp:posOffset>
            </wp:positionV>
            <wp:extent cx="7660972" cy="1815152"/>
            <wp:effectExtent l="0" t="0" r="0" b="0"/>
            <wp:wrapNone/>
            <wp:docPr id="1255392838"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60972" cy="181515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b/>
          <w:bCs/>
          <w:color w:val="FFFFFF" w:themeColor="background1"/>
          <w:sz w:val="52"/>
          <w:szCs w:val="52"/>
        </w:rPr>
        <w:t>LISTINA ZÁKLADNÍCH PRÁV EU</w:t>
      </w:r>
      <w:r w:rsidRPr="00173270">
        <w:rPr>
          <w:rFonts w:ascii="Calibri" w:hAnsi="Calibri" w:cs="Calibri"/>
          <w:b/>
          <w:bCs/>
          <w:color w:val="FFFFFF" w:themeColor="background1"/>
          <w:sz w:val="52"/>
          <w:szCs w:val="52"/>
        </w:rPr>
        <w:t xml:space="preserve"> : </w:t>
      </w:r>
    </w:p>
    <w:p w14:paraId="0FB2DFA4" w14:textId="52260FF4" w:rsidR="00173270" w:rsidRPr="00BB73F5" w:rsidRDefault="00000000" w:rsidP="00173270">
      <w:pPr>
        <w:spacing w:line="192" w:lineRule="auto"/>
        <w:jc w:val="center"/>
        <w:rPr>
          <w:rFonts w:ascii="Calibri" w:eastAsiaTheme="majorEastAsia" w:hAnsi="Calibri" w:cs="Calibri"/>
          <w:spacing w:val="-10"/>
          <w:kern w:val="28"/>
          <w:sz w:val="52"/>
          <w:szCs w:val="52"/>
        </w:rPr>
      </w:pPr>
      <w:r>
        <w:rPr>
          <w:noProof/>
        </w:rPr>
        <w:pict w14:anchorId="79678B30">
          <v:rect id="Rectangle 63" o:spid="_x0000_s2050" style="position:absolute;left:0;text-align:left;margin-left:202.8pt;margin-top:25.35pt;width:46.2pt;height:3.6pt;z-index:251660288;visibility:visible;mso-wrap-style:square;mso-height-percent:0;mso-wrap-distance-left:9pt;mso-wrap-distance-top:0;mso-wrap-distance-right:9pt;mso-wrap-distance-bottom:0;mso-position-horizontal-relative:margin;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" fillcolor="#4ea72e [3209]" stroked="f" strokeweight="1pt">
            <v:shadow on="t" color="black" opacity="26214f" origin="-.5,-.5" offset=".74836mm,.74836mm"/>
            <w10:wrap anchorx="margin"/>
          </v:rect>
        </w:pict>
      </w:r>
      <w:r w:rsidR="00173270" w:rsidRPr="00173270">
        <w:rPr>
          <w:rFonts w:ascii="Calibri" w:hAnsi="Calibri" w:cs="Calibri"/>
          <w:b/>
          <w:bCs/>
          <w:color w:val="FFFFFF" w:themeColor="background1"/>
          <w:sz w:val="52"/>
          <w:szCs w:val="52"/>
        </w:rPr>
        <w:t>CASE LAB</w:t>
      </w:r>
    </w:p>
    <w:p w14:paraId="7EDBFE96" w14:textId="77777777" w:rsidR="00173270" w:rsidRDefault="00173270" w:rsidP="00173270">
      <w:pPr>
        <w:spacing w:line="276" w:lineRule="auto"/>
        <w:rPr>
          <w:rFonts w:ascii="Calibri" w:hAnsi="Calibri"/>
          <w:b/>
          <w:color w:val="4C94D8" w:themeColor="text2" w:themeTint="80"/>
          <w:sz w:val="28"/>
        </w:rPr>
      </w:pPr>
    </w:p>
    <w:p w14:paraId="17159112" w14:textId="3F03DFA5" w:rsidR="00903503" w:rsidRPr="00A02388" w:rsidRDefault="00000000" w:rsidP="00A02388">
      <w:pPr>
        <w:jc w:val="center"/>
        <w:rPr>
          <w:rFonts w:ascii="Calibri" w:hAnsi="Calibri" w:cs="Calibri"/>
          <w:b/>
          <w:bCs/>
          <w:i/>
          <w:iCs/>
          <w:sz w:val="24"/>
          <w:szCs w:val="24"/>
        </w:rPr>
      </w:pPr>
      <w:r>
        <w:rPr>
          <w:noProof/>
        </w:rPr>
        <w:pict w14:anchorId="08802CE8">
          <v:roundrect id="Zone de texte 2" o:spid="_x0000_s2052" style="position:absolute;left:0;text-align:left;margin-left:-.45pt;margin-top:47.55pt;width:452.25pt;height:215.25pt;z-index:251664384;visibility:visible;mso-wrap-style:square;mso-width-percent:0;mso-wrap-distance-left:9pt;mso-wrap-distance-top:3.6pt;mso-wrap-distance-right:9pt;mso-wrap-distance-bottom:3.6pt;mso-position-horizontal-relative:margin;mso-position-vertical-relative:text;mso-width-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" fillcolor="#dceaf7 [351]" strokecolor="#c1e4f5 [660]">
            <v:stroke joinstyle="miter"/>
            <v:textbox style="mso-next-textbox:#Zone de texte 2">
              <w:txbxContent>
                <w:p w14:paraId="1AD5BABE" w14:textId="593C35C9" w:rsidR="00033851" w:rsidRPr="00442A25" w:rsidRDefault="00033851" w:rsidP="00033851">
                  <w:pPr>
                    <w:rPr>
                      <w:rFonts w:ascii="Calibri" w:hAnsi="Calibri" w:cs="Calibri"/>
                      <w:sz w:val="24"/>
                      <w:szCs w:val="24"/>
                    </w:rPr>
                  </w:pPr>
                  <w:r w:rsidRPr="00442A25">
                    <w:rPr>
                      <w:rFonts w:ascii="Calibri" w:hAnsi="Calibri" w:cs="Calibri"/>
                      <w:noProof/>
                      <w:sz w:val="24"/>
                      <w:szCs w:val="24"/>
                      <w:lang w:eastAsia="en-IE"/>
                    </w:rPr>
                    <w:drawing>
                      <wp:inline distT="0" distB="0" distL="0" distR="0" wp14:anchorId="4701E1E6" wp14:editId="2E4401A8">
                        <wp:extent cx="371475" cy="371475"/>
                        <wp:effectExtent l="0" t="0" r="0" b="9525"/>
                        <wp:docPr id="448349120" name="Graphique 8"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36227" name="Graphique 451636227" descr="Informations contour"/>
                                <pic:cNvPicPr/>
                              </pic:nvPicPr>
                              <pic:blipFill>
                                <a:blip r:embed="rId12">
                                  <a:extLst>
                                    <a:ext uri="{96DAC541-7B7A-43D3-8B79-37D633B846F1}">
                                      <asvg:svgBlip xmlns:asvg="http://schemas.microsoft.com/office/drawing/2016/SVG/main" r:embed="rId13"/>
                                    </a:ext>
                                  </a:extLst>
                                </a:blip>
                                <a:stretch>
                                  <a:fillRect/>
                                </a:stretch>
                              </pic:blipFill>
                              <pic:spPr>
                                <a:xfrm>
                                  <a:off x="0" y="0"/>
                                  <a:ext cx="371475" cy="371475"/>
                                </a:xfrm>
                                <a:prstGeom prst="rect">
                                  <a:avLst/>
                                </a:prstGeom>
                              </pic:spPr>
                            </pic:pic>
                          </a:graphicData>
                        </a:graphic>
                      </wp:inline>
                    </w:drawing>
                  </w:r>
                  <w:r w:rsidR="00442A25" w:rsidRPr="00442A25">
                    <w:rPr>
                      <w:rFonts w:ascii="Calibri" w:hAnsi="Calibri" w:cs="Calibri"/>
                      <w:sz w:val="24"/>
                      <w:szCs w:val="24"/>
                    </w:rPr>
                    <w:t xml:space="preserve"> </w:t>
                  </w:r>
                  <w:r w:rsidR="00442A25" w:rsidRPr="002F090D">
                    <w:rPr>
                      <w:rFonts w:ascii="Calibri" w:hAnsi="Calibri" w:cs="Calibri"/>
                      <w:sz w:val="24"/>
                      <w:szCs w:val="24"/>
                    </w:rPr>
                    <w:t>Následující články Listiny základních práv EU jsou relevantní pro řešení tohoto případu:</w:t>
                  </w:r>
                </w:p>
                <w:p w14:paraId="1469C266" w14:textId="55BC0EA2" w:rsidR="00033851" w:rsidRPr="00442A25" w:rsidRDefault="00EB1B5C" w:rsidP="00033851">
                  <w:pPr>
                    <w:numPr>
                      <w:ilvl w:val="0"/>
                      <w:numId w:val="5"/>
                    </w:numPr>
                  </w:pPr>
                  <w:r w:rsidRPr="00442A25">
                    <w:rPr>
                      <w:b/>
                      <w:bCs/>
                    </w:rPr>
                    <w:t>Článek</w:t>
                  </w:r>
                  <w:r w:rsidR="00033851" w:rsidRPr="00442A25">
                    <w:rPr>
                      <w:b/>
                      <w:bCs/>
                    </w:rPr>
                    <w:t xml:space="preserve"> 1</w:t>
                  </w:r>
                  <w:r w:rsidR="00033851" w:rsidRPr="00442A25">
                    <w:t xml:space="preserve">: </w:t>
                  </w:r>
                  <w:r w:rsidR="005048DF" w:rsidRPr="00442A25">
                    <w:t>Lidská důstojnost</w:t>
                  </w:r>
                </w:p>
                <w:p w14:paraId="38537F73" w14:textId="3B623F38" w:rsidR="00033851" w:rsidRPr="00442A25" w:rsidRDefault="00EB1B5C" w:rsidP="00033851">
                  <w:pPr>
                    <w:numPr>
                      <w:ilvl w:val="0"/>
                      <w:numId w:val="5"/>
                    </w:numPr>
                  </w:pPr>
                  <w:r w:rsidRPr="00442A25">
                    <w:rPr>
                      <w:b/>
                      <w:bCs/>
                    </w:rPr>
                    <w:t>Článek</w:t>
                  </w:r>
                  <w:r w:rsidR="00033851" w:rsidRPr="00442A25">
                    <w:rPr>
                      <w:b/>
                      <w:bCs/>
                    </w:rPr>
                    <w:t xml:space="preserve"> 10</w:t>
                  </w:r>
                  <w:r w:rsidR="00033851" w:rsidRPr="00442A25">
                    <w:t xml:space="preserve">: </w:t>
                  </w:r>
                  <w:r w:rsidR="00120622" w:rsidRPr="00442A25">
                    <w:t>Svoboda myšlení, svědomí a nábožens</w:t>
                  </w:r>
                  <w:r w:rsidR="005048DF" w:rsidRPr="00442A25">
                    <w:t>kého vyznání</w:t>
                  </w:r>
                </w:p>
                <w:p w14:paraId="764D21AF" w14:textId="04505102" w:rsidR="00033851" w:rsidRPr="00442A25" w:rsidRDefault="00EB1B5C" w:rsidP="00033851">
                  <w:pPr>
                    <w:numPr>
                      <w:ilvl w:val="0"/>
                      <w:numId w:val="5"/>
                    </w:numPr>
                  </w:pPr>
                  <w:r w:rsidRPr="00442A25">
                    <w:rPr>
                      <w:b/>
                      <w:bCs/>
                    </w:rPr>
                    <w:t>Článek</w:t>
                  </w:r>
                  <w:r w:rsidR="00033851" w:rsidRPr="00442A25">
                    <w:rPr>
                      <w:b/>
                      <w:bCs/>
                    </w:rPr>
                    <w:t xml:space="preserve"> 21: </w:t>
                  </w:r>
                  <w:r w:rsidR="005048DF" w:rsidRPr="00442A25">
                    <w:t>Zákaz diskriminace</w:t>
                  </w:r>
                  <w:r w:rsidR="00033851" w:rsidRPr="00442A25">
                    <w:t xml:space="preserve"> </w:t>
                  </w:r>
                </w:p>
                <w:p w14:paraId="08123EA6" w14:textId="00C6CEA2" w:rsidR="00033851" w:rsidRPr="00442A25" w:rsidRDefault="00EB1B5C" w:rsidP="00033851">
                  <w:pPr>
                    <w:numPr>
                      <w:ilvl w:val="0"/>
                      <w:numId w:val="5"/>
                    </w:numPr>
                  </w:pPr>
                  <w:r w:rsidRPr="00442A25">
                    <w:rPr>
                      <w:b/>
                      <w:bCs/>
                    </w:rPr>
                    <w:t>Článek</w:t>
                  </w:r>
                  <w:r w:rsidR="00033851" w:rsidRPr="00442A25">
                    <w:rPr>
                      <w:b/>
                      <w:bCs/>
                    </w:rPr>
                    <w:t xml:space="preserve"> 30:</w:t>
                  </w:r>
                  <w:r w:rsidR="00033851" w:rsidRPr="00442A25">
                    <w:t xml:space="preserve"> </w:t>
                  </w:r>
                  <w:r w:rsidR="00357AF5">
                    <w:t>Právo na o</w:t>
                  </w:r>
                  <w:r w:rsidR="005048DF" w:rsidRPr="00442A25">
                    <w:t>chran</w:t>
                  </w:r>
                  <w:r w:rsidR="00357AF5">
                    <w:t>u před</w:t>
                  </w:r>
                  <w:r w:rsidR="005048DF" w:rsidRPr="00442A25">
                    <w:t xml:space="preserve"> neoprávněn</w:t>
                  </w:r>
                  <w:r w:rsidR="00357AF5">
                    <w:t xml:space="preserve">ým </w:t>
                  </w:r>
                  <w:r w:rsidR="005048DF" w:rsidRPr="00442A25">
                    <w:t>propuštění</w:t>
                  </w:r>
                  <w:r w:rsidR="00357AF5">
                    <w:t>m</w:t>
                  </w:r>
                  <w:r w:rsidR="00033851" w:rsidRPr="00442A25">
                    <w:t xml:space="preserve"> </w:t>
                  </w:r>
                </w:p>
                <w:p w14:paraId="3EFA1463" w14:textId="628BC6E0" w:rsidR="00033851" w:rsidRPr="00442A25" w:rsidRDefault="00EB1B5C" w:rsidP="00033851">
                  <w:pPr>
                    <w:numPr>
                      <w:ilvl w:val="0"/>
                      <w:numId w:val="5"/>
                    </w:numPr>
                  </w:pPr>
                  <w:r w:rsidRPr="00442A25">
                    <w:rPr>
                      <w:b/>
                      <w:bCs/>
                    </w:rPr>
                    <w:t>Článek</w:t>
                  </w:r>
                  <w:r w:rsidR="00033851" w:rsidRPr="00442A25">
                    <w:rPr>
                      <w:b/>
                      <w:bCs/>
                    </w:rPr>
                    <w:t xml:space="preserve"> 31:</w:t>
                  </w:r>
                  <w:r w:rsidR="00033851" w:rsidRPr="00442A25">
                    <w:t xml:space="preserve"> </w:t>
                  </w:r>
                  <w:r w:rsidR="00F235A5" w:rsidRPr="00442A25">
                    <w:t>Slušné a spravedlivé pracovní podmínky</w:t>
                  </w:r>
                  <w:r w:rsidR="00033851" w:rsidRPr="00442A25">
                    <w:t xml:space="preserve"> </w:t>
                  </w:r>
                </w:p>
                <w:p w14:paraId="1AECE8A4" w14:textId="2C6A9A28" w:rsidR="00033851" w:rsidRPr="00442A25" w:rsidRDefault="00EB1B5C" w:rsidP="00033851">
                  <w:pPr>
                    <w:numPr>
                      <w:ilvl w:val="0"/>
                      <w:numId w:val="5"/>
                    </w:numPr>
                  </w:pPr>
                  <w:r w:rsidRPr="00442A25">
                    <w:rPr>
                      <w:b/>
                      <w:bCs/>
                    </w:rPr>
                    <w:t>Článek</w:t>
                  </w:r>
                  <w:r w:rsidR="00033851" w:rsidRPr="00442A25">
                    <w:rPr>
                      <w:b/>
                      <w:bCs/>
                    </w:rPr>
                    <w:t xml:space="preserve"> 34:</w:t>
                  </w:r>
                  <w:r w:rsidR="00033851" w:rsidRPr="00442A25">
                    <w:t xml:space="preserve"> </w:t>
                  </w:r>
                  <w:r w:rsidR="00F235A5" w:rsidRPr="00442A25">
                    <w:t>Sociální zabezpečení a sociální pomoc</w:t>
                  </w:r>
                  <w:r w:rsidR="00033851" w:rsidRPr="00442A25">
                    <w:t xml:space="preserve"> </w:t>
                  </w:r>
                </w:p>
                <w:p w14:paraId="0DA5AAC8" w14:textId="77777777" w:rsidR="00033851" w:rsidRPr="00993FE4" w:rsidRDefault="00033851" w:rsidP="00033851">
                  <w:pPr>
                    <w:numPr>
                      <w:ilvl w:val="0"/>
                      <w:numId w:val="5"/>
                    </w:numPr>
                    <w:rPr>
                      <w:lang w:val="en-GB"/>
                    </w:rPr>
                  </w:pPr>
                  <w:r>
                    <w:rPr>
                      <w:b/>
                      <w:bCs/>
                      <w:lang w:val="en-GB"/>
                    </w:rPr>
                    <w:t>Article 51:</w:t>
                  </w:r>
                  <w:r>
                    <w:rPr>
                      <w:lang w:val="en-GB"/>
                    </w:rPr>
                    <w:t xml:space="preserve"> Scope of application of the Charter </w:t>
                  </w:r>
                </w:p>
                <w:p w14:paraId="27956DE9" w14:textId="77777777" w:rsidR="00033851" w:rsidRPr="00993FE4" w:rsidRDefault="00033851" w:rsidP="00033851">
                  <w:pPr>
                    <w:rPr>
                      <w:lang w:val="en-GB"/>
                    </w:rPr>
                  </w:pPr>
                </w:p>
              </w:txbxContent>
            </v:textbox>
            <w10:wrap type="square" anchorx="margin"/>
          </v:roundrect>
        </w:pict>
      </w:r>
      <w:r w:rsidR="008A4A8A">
        <w:rPr>
          <w:rFonts w:ascii="Calibri" w:hAnsi="Calibri" w:cs="Calibri"/>
          <w:b/>
          <w:bCs/>
          <w:color w:val="156082" w:themeColor="accent1"/>
          <w:sz w:val="28"/>
          <w:szCs w:val="28"/>
          <w:lang w:val="en-GB"/>
        </w:rPr>
        <w:t>PŘÍPAD</w:t>
      </w:r>
      <w:r w:rsidR="008A4A8A" w:rsidRPr="00C01956">
        <w:rPr>
          <w:rFonts w:ascii="Calibri" w:hAnsi="Calibri" w:cs="Calibri"/>
          <w:b/>
          <w:bCs/>
          <w:color w:val="156082" w:themeColor="accent1"/>
          <w:sz w:val="28"/>
          <w:szCs w:val="28"/>
          <w:lang w:val="en-GB"/>
        </w:rPr>
        <w:t xml:space="preserve"> </w:t>
      </w:r>
      <w:r w:rsidR="008A4A8A">
        <w:rPr>
          <w:rFonts w:ascii="Calibri" w:hAnsi="Calibri" w:cs="Calibri"/>
          <w:b/>
          <w:bCs/>
          <w:color w:val="156082" w:themeColor="accent1"/>
          <w:sz w:val="28"/>
          <w:szCs w:val="28"/>
          <w:lang w:val="en-GB"/>
        </w:rPr>
        <w:t>2</w:t>
      </w:r>
      <w:r w:rsidR="008A4A8A" w:rsidRPr="00C01956">
        <w:rPr>
          <w:rFonts w:ascii="Calibri" w:hAnsi="Calibri" w:cs="Calibri"/>
          <w:b/>
          <w:bCs/>
          <w:color w:val="156082" w:themeColor="accent1"/>
          <w:sz w:val="28"/>
          <w:szCs w:val="28"/>
          <w:lang w:val="en-GB"/>
        </w:rPr>
        <w:t xml:space="preserve"> : </w:t>
      </w:r>
      <w:r w:rsidR="00A02388" w:rsidRPr="00903503">
        <w:rPr>
          <w:rFonts w:ascii="Calibri" w:hAnsi="Calibri" w:cs="Calibri"/>
          <w:b/>
          <w:bCs/>
          <w:color w:val="156082" w:themeColor="accent1"/>
          <w:sz w:val="28"/>
          <w:szCs w:val="28"/>
          <w:lang w:val="en-GB"/>
        </w:rPr>
        <w:t>PIERO LITEL</w:t>
      </w:r>
      <w:bookmarkStart w:id="0" w:name="_Hlk185342298"/>
      <w:r>
        <w:rPr>
          <w:rFonts w:ascii="Calibri" w:hAnsi="Calibri" w:cs="Calibri"/>
          <w:b/>
          <w:bCs/>
          <w:i/>
          <w:iCs/>
          <w:color w:val="156082" w:themeColor="accent1"/>
          <w:sz w:val="24"/>
          <w:szCs w:val="24"/>
          <w:lang w:val="en-GB"/>
        </w:rPr>
        <w:pict w14:anchorId="316B0BAC">
          <v:rect id="_x0000_i1025" style="width:422.3pt;height:1pt" o:hrpct="931" o:hralign="center" o:hrstd="t" o:hrnoshade="t" o:hr="t" fillcolor="#002060" stroked="f"/>
        </w:pict>
      </w:r>
      <w:bookmarkEnd w:id="0"/>
    </w:p>
    <w:p w14:paraId="60C0FA68" w14:textId="60EB540A" w:rsidR="00033851" w:rsidRDefault="00033851" w:rsidP="00033851">
      <w:pPr>
        <w:jc w:val="center"/>
        <w:rPr>
          <w:rFonts w:ascii="Times New Roman" w:hAnsi="Times New Roman" w:cs="Times New Roman"/>
          <w:sz w:val="24"/>
          <w:szCs w:val="24"/>
          <w:lang w:val="en-GB"/>
        </w:rPr>
      </w:pPr>
    </w:p>
    <w:p w14:paraId="663AD817" w14:textId="77777777" w:rsidR="00BF000D" w:rsidRPr="00A02388" w:rsidRDefault="00BF000D" w:rsidP="00A02388">
      <w:pPr>
        <w:spacing w:line="276" w:lineRule="auto"/>
        <w:jc w:val="both"/>
        <w:rPr>
          <w:rFonts w:ascii="Times New Roman" w:hAnsi="Times New Roman" w:cs="Times New Roman"/>
          <w:sz w:val="24"/>
          <w:szCs w:val="24"/>
        </w:rPr>
      </w:pPr>
      <w:r>
        <w:rPr>
          <w:rFonts w:ascii="Times New Roman" w:hAnsi="Times New Roman"/>
          <w:sz w:val="24"/>
        </w:rPr>
        <w:t>Piero Litel je občanem Evropské unie, narozený</w:t>
      </w:r>
      <w:r w:rsidR="0051719E">
        <w:rPr>
          <w:rFonts w:ascii="Times New Roman" w:hAnsi="Times New Roman"/>
          <w:sz w:val="24"/>
        </w:rPr>
        <w:t xml:space="preserve"> v </w:t>
      </w:r>
      <w:r>
        <w:rPr>
          <w:rFonts w:ascii="Times New Roman" w:hAnsi="Times New Roman"/>
          <w:sz w:val="24"/>
        </w:rPr>
        <w:t>Itálii</w:t>
      </w:r>
      <w:r w:rsidR="0051719E">
        <w:rPr>
          <w:rFonts w:ascii="Times New Roman" w:hAnsi="Times New Roman"/>
          <w:sz w:val="24"/>
        </w:rPr>
        <w:t xml:space="preserve"> v </w:t>
      </w:r>
      <w:r>
        <w:rPr>
          <w:rFonts w:ascii="Times New Roman" w:hAnsi="Times New Roman"/>
          <w:sz w:val="24"/>
        </w:rPr>
        <w:t>roce 1950. Žije</w:t>
      </w:r>
      <w:r w:rsidR="0051719E">
        <w:rPr>
          <w:rFonts w:ascii="Times New Roman" w:hAnsi="Times New Roman"/>
          <w:sz w:val="24"/>
        </w:rPr>
        <w:t xml:space="preserve"> v </w:t>
      </w:r>
      <w:r>
        <w:rPr>
          <w:rFonts w:ascii="Times New Roman" w:hAnsi="Times New Roman"/>
          <w:sz w:val="24"/>
        </w:rPr>
        <w:t>Římě</w:t>
      </w:r>
      <w:r w:rsidR="0051719E">
        <w:rPr>
          <w:rFonts w:ascii="Times New Roman" w:hAnsi="Times New Roman"/>
          <w:sz w:val="24"/>
        </w:rPr>
        <w:t xml:space="preserve"> a </w:t>
      </w:r>
      <w:r>
        <w:rPr>
          <w:rFonts w:ascii="Times New Roman" w:hAnsi="Times New Roman"/>
          <w:sz w:val="24"/>
        </w:rPr>
        <w:t>jako důchodce pobírá malý mě</w:t>
      </w:r>
      <w:r w:rsidR="0089327F">
        <w:rPr>
          <w:rFonts w:ascii="Times New Roman" w:hAnsi="Times New Roman"/>
          <w:sz w:val="24"/>
        </w:rPr>
        <w:t xml:space="preserve">síční důchod ve výši </w:t>
      </w:r>
      <w:r w:rsidR="0051719E">
        <w:rPr>
          <w:rFonts w:ascii="Times New Roman" w:hAnsi="Times New Roman"/>
          <w:sz w:val="24"/>
        </w:rPr>
        <w:t>1 5</w:t>
      </w:r>
      <w:r w:rsidR="0089327F">
        <w:rPr>
          <w:rFonts w:ascii="Times New Roman" w:hAnsi="Times New Roman"/>
          <w:sz w:val="24"/>
        </w:rPr>
        <w:t>00 eur.</w:t>
      </w:r>
    </w:p>
    <w:p w14:paraId="7A80D3DA" w14:textId="77777777" w:rsidR="00BF000D" w:rsidRPr="00A02388" w:rsidRDefault="00BF000D" w:rsidP="00A02388">
      <w:pPr>
        <w:spacing w:line="276" w:lineRule="auto"/>
        <w:jc w:val="both"/>
        <w:rPr>
          <w:rFonts w:ascii="Times New Roman" w:hAnsi="Times New Roman" w:cs="Times New Roman"/>
          <w:sz w:val="24"/>
          <w:szCs w:val="24"/>
        </w:rPr>
      </w:pPr>
      <w:r>
        <w:rPr>
          <w:rFonts w:ascii="Times New Roman" w:hAnsi="Times New Roman"/>
          <w:sz w:val="24"/>
        </w:rPr>
        <w:t>Má dvě dcery, dvojčata (Maria</w:t>
      </w:r>
      <w:r w:rsidR="0051719E">
        <w:rPr>
          <w:rFonts w:ascii="Times New Roman" w:hAnsi="Times New Roman"/>
          <w:sz w:val="24"/>
        </w:rPr>
        <w:t xml:space="preserve"> a </w:t>
      </w:r>
      <w:r>
        <w:rPr>
          <w:rFonts w:ascii="Times New Roman" w:hAnsi="Times New Roman"/>
          <w:sz w:val="24"/>
        </w:rPr>
        <w:t>Lucie), narozená</w:t>
      </w:r>
      <w:r w:rsidR="0051719E">
        <w:rPr>
          <w:rFonts w:ascii="Times New Roman" w:hAnsi="Times New Roman"/>
          <w:sz w:val="24"/>
        </w:rPr>
        <w:t xml:space="preserve"> v </w:t>
      </w:r>
      <w:r>
        <w:rPr>
          <w:rFonts w:ascii="Times New Roman" w:hAnsi="Times New Roman"/>
          <w:sz w:val="24"/>
        </w:rPr>
        <w:t>roce 1995, která žijí</w:t>
      </w:r>
      <w:r w:rsidR="0051719E">
        <w:rPr>
          <w:rFonts w:ascii="Times New Roman" w:hAnsi="Times New Roman"/>
          <w:sz w:val="24"/>
        </w:rPr>
        <w:t xml:space="preserve"> v </w:t>
      </w:r>
      <w:r>
        <w:rPr>
          <w:rFonts w:ascii="Times New Roman" w:hAnsi="Times New Roman"/>
          <w:sz w:val="24"/>
        </w:rPr>
        <w:t>Irsku, obě jsou inženýrky, specialistky na umělou inteligenci</w:t>
      </w:r>
      <w:r w:rsidR="0051719E">
        <w:rPr>
          <w:rFonts w:ascii="Times New Roman" w:hAnsi="Times New Roman"/>
          <w:sz w:val="24"/>
        </w:rPr>
        <w:t xml:space="preserve"> a </w:t>
      </w:r>
      <w:r>
        <w:rPr>
          <w:rFonts w:ascii="Times New Roman" w:hAnsi="Times New Roman"/>
          <w:sz w:val="24"/>
        </w:rPr>
        <w:t>pracují pro společnost TAME</w:t>
      </w:r>
      <w:r w:rsidR="0051719E">
        <w:rPr>
          <w:rFonts w:ascii="Times New Roman" w:hAnsi="Times New Roman"/>
          <w:sz w:val="24"/>
        </w:rPr>
        <w:t xml:space="preserve"> v </w:t>
      </w:r>
      <w:r>
        <w:rPr>
          <w:rFonts w:ascii="Times New Roman" w:hAnsi="Times New Roman"/>
          <w:sz w:val="24"/>
        </w:rPr>
        <w:t>Dublinu.</w:t>
      </w:r>
    </w:p>
    <w:p w14:paraId="3B4C48CF" w14:textId="77777777" w:rsidR="00BF000D" w:rsidRPr="00A02388" w:rsidRDefault="00BF000D" w:rsidP="00A02388">
      <w:pPr>
        <w:spacing w:line="276" w:lineRule="auto"/>
        <w:jc w:val="both"/>
        <w:rPr>
          <w:rFonts w:ascii="Times New Roman" w:hAnsi="Times New Roman" w:cs="Times New Roman"/>
          <w:sz w:val="24"/>
          <w:szCs w:val="24"/>
        </w:rPr>
      </w:pPr>
      <w:r>
        <w:rPr>
          <w:rFonts w:ascii="Times New Roman" w:hAnsi="Times New Roman"/>
          <w:sz w:val="24"/>
        </w:rPr>
        <w:t>Maria pracuje pro společnost TAME od roku 2015, ale na dobu určitou</w:t>
      </w:r>
      <w:r w:rsidR="0051719E">
        <w:rPr>
          <w:rFonts w:ascii="Times New Roman" w:hAnsi="Times New Roman"/>
          <w:sz w:val="24"/>
        </w:rPr>
        <w:t xml:space="preserve"> s </w:t>
      </w:r>
      <w:r>
        <w:rPr>
          <w:rFonts w:ascii="Times New Roman" w:hAnsi="Times New Roman"/>
          <w:sz w:val="24"/>
        </w:rPr>
        <w:t>možností prodloužení na 6 měsíců.  Společnost TAME ukončila Mariinu smlouvu na dobu určitou, aniž by uvedla důvod.</w:t>
      </w:r>
    </w:p>
    <w:p w14:paraId="7891F55A" w14:textId="77777777" w:rsidR="00BF000D" w:rsidRPr="00A02388" w:rsidRDefault="00BF000D" w:rsidP="00A02388">
      <w:pPr>
        <w:spacing w:line="276" w:lineRule="auto"/>
        <w:jc w:val="both"/>
        <w:rPr>
          <w:rFonts w:ascii="Times New Roman" w:hAnsi="Times New Roman" w:cs="Times New Roman"/>
          <w:sz w:val="24"/>
          <w:szCs w:val="24"/>
        </w:rPr>
      </w:pPr>
      <w:r>
        <w:rPr>
          <w:rFonts w:ascii="Times New Roman" w:hAnsi="Times New Roman"/>
          <w:sz w:val="24"/>
        </w:rPr>
        <w:t>Maria tvrdí, že ukončení její smlouvy souvisí</w:t>
      </w:r>
      <w:r w:rsidR="0051719E">
        <w:rPr>
          <w:rFonts w:ascii="Times New Roman" w:hAnsi="Times New Roman"/>
          <w:sz w:val="24"/>
        </w:rPr>
        <w:t xml:space="preserve"> s </w:t>
      </w:r>
      <w:r>
        <w:rPr>
          <w:rFonts w:ascii="Times New Roman" w:hAnsi="Times New Roman"/>
          <w:sz w:val="24"/>
        </w:rPr>
        <w:t>tím, že je od roku 2020 členkou scientologické církve, zatímco společnost TAME to popírá</w:t>
      </w:r>
      <w:r w:rsidR="0051719E">
        <w:rPr>
          <w:rFonts w:ascii="Times New Roman" w:hAnsi="Times New Roman"/>
          <w:sz w:val="24"/>
        </w:rPr>
        <w:t xml:space="preserve"> a </w:t>
      </w:r>
      <w:r>
        <w:rPr>
          <w:rFonts w:ascii="Times New Roman" w:hAnsi="Times New Roman"/>
          <w:sz w:val="24"/>
        </w:rPr>
        <w:t>tvrdí, že její rozhodnutí souvisí výhradně</w:t>
      </w:r>
      <w:r w:rsidR="0051719E">
        <w:rPr>
          <w:rFonts w:ascii="Times New Roman" w:hAnsi="Times New Roman"/>
          <w:sz w:val="24"/>
        </w:rPr>
        <w:t xml:space="preserve"> s </w:t>
      </w:r>
      <w:r>
        <w:rPr>
          <w:rFonts w:ascii="Times New Roman" w:hAnsi="Times New Roman"/>
          <w:sz w:val="24"/>
        </w:rPr>
        <w:t>tím, že tato církev má konkurovat jejímu podnikání</w:t>
      </w:r>
      <w:r w:rsidR="0051719E">
        <w:rPr>
          <w:rFonts w:ascii="Times New Roman" w:hAnsi="Times New Roman"/>
          <w:sz w:val="24"/>
        </w:rPr>
        <w:t xml:space="preserve"> v </w:t>
      </w:r>
      <w:r>
        <w:rPr>
          <w:rFonts w:ascii="Times New Roman" w:hAnsi="Times New Roman"/>
          <w:sz w:val="24"/>
        </w:rPr>
        <w:t>oblasti vývoje umělé inteligence</w:t>
      </w:r>
      <w:r w:rsidR="0051719E">
        <w:rPr>
          <w:rFonts w:ascii="Times New Roman" w:hAnsi="Times New Roman"/>
          <w:sz w:val="24"/>
        </w:rPr>
        <w:t xml:space="preserve"> a </w:t>
      </w:r>
      <w:r>
        <w:rPr>
          <w:rFonts w:ascii="Times New Roman" w:hAnsi="Times New Roman"/>
          <w:sz w:val="24"/>
        </w:rPr>
        <w:t>že společnost nemůže souhlasit</w:t>
      </w:r>
      <w:r w:rsidR="0051719E">
        <w:rPr>
          <w:rFonts w:ascii="Times New Roman" w:hAnsi="Times New Roman"/>
          <w:sz w:val="24"/>
        </w:rPr>
        <w:t xml:space="preserve"> s </w:t>
      </w:r>
      <w:r>
        <w:rPr>
          <w:rFonts w:ascii="Times New Roman" w:hAnsi="Times New Roman"/>
          <w:sz w:val="24"/>
        </w:rPr>
        <w:t>tím, aby byly její patenty podvodně zneužívány.</w:t>
      </w:r>
    </w:p>
    <w:p w14:paraId="127E7AD4" w14:textId="77777777" w:rsidR="00742EBA" w:rsidRDefault="00BF000D" w:rsidP="00A02388">
      <w:pPr>
        <w:spacing w:line="276" w:lineRule="auto"/>
        <w:jc w:val="both"/>
        <w:rPr>
          <w:rFonts w:ascii="Times New Roman" w:hAnsi="Times New Roman" w:cs="Times New Roman"/>
          <w:sz w:val="24"/>
          <w:szCs w:val="24"/>
        </w:rPr>
      </w:pPr>
      <w:r w:rsidRPr="00980441">
        <w:rPr>
          <w:rFonts w:ascii="Times New Roman" w:hAnsi="Times New Roman"/>
          <w:b/>
          <w:bCs/>
          <w:sz w:val="24"/>
        </w:rPr>
        <w:t>Maria</w:t>
      </w:r>
      <w:r>
        <w:rPr>
          <w:rFonts w:ascii="Times New Roman" w:hAnsi="Times New Roman"/>
          <w:sz w:val="24"/>
        </w:rPr>
        <w:t>, která se vyzná</w:t>
      </w:r>
      <w:r w:rsidR="0051719E">
        <w:rPr>
          <w:rFonts w:ascii="Times New Roman" w:hAnsi="Times New Roman"/>
          <w:sz w:val="24"/>
        </w:rPr>
        <w:t xml:space="preserve"> v </w:t>
      </w:r>
      <w:r>
        <w:rPr>
          <w:rFonts w:ascii="Times New Roman" w:hAnsi="Times New Roman"/>
          <w:sz w:val="24"/>
        </w:rPr>
        <w:t>sociálních sítích, vás jako odborníka na lidská práva</w:t>
      </w:r>
      <w:r w:rsidR="0051719E">
        <w:rPr>
          <w:rFonts w:ascii="Times New Roman" w:hAnsi="Times New Roman"/>
          <w:sz w:val="24"/>
        </w:rPr>
        <w:t xml:space="preserve"> v </w:t>
      </w:r>
      <w:r>
        <w:rPr>
          <w:rFonts w:ascii="Times New Roman" w:hAnsi="Times New Roman"/>
          <w:sz w:val="24"/>
        </w:rPr>
        <w:t>Evropské unii kontaktuje prostřednictvím videa na TikToku. Žádá vás, abyste na základě Listiny základních práv zahájili řízení,</w:t>
      </w:r>
      <w:r w:rsidR="0051719E">
        <w:rPr>
          <w:rFonts w:ascii="Times New Roman" w:hAnsi="Times New Roman"/>
          <w:sz w:val="24"/>
        </w:rPr>
        <w:t xml:space="preserve"> v </w:t>
      </w:r>
      <w:r>
        <w:rPr>
          <w:rFonts w:ascii="Times New Roman" w:hAnsi="Times New Roman"/>
          <w:sz w:val="24"/>
        </w:rPr>
        <w:t xml:space="preserve">rámci kterého byste podali stížnost na její diskriminační propuštění. </w:t>
      </w:r>
    </w:p>
    <w:p w14:paraId="193AD7AE" w14:textId="77777777" w:rsidR="00BF000D" w:rsidRPr="00A02388" w:rsidRDefault="00BF000D" w:rsidP="00A02388">
      <w:pPr>
        <w:spacing w:line="276" w:lineRule="auto"/>
        <w:jc w:val="both"/>
        <w:rPr>
          <w:rFonts w:ascii="Times New Roman" w:hAnsi="Times New Roman" w:cs="Times New Roman"/>
          <w:sz w:val="24"/>
          <w:szCs w:val="24"/>
        </w:rPr>
      </w:pPr>
      <w:r>
        <w:rPr>
          <w:rFonts w:ascii="Times New Roman" w:hAnsi="Times New Roman"/>
          <w:sz w:val="24"/>
        </w:rPr>
        <w:t>Od roku 2024, po velké finanční krizi, která zasáhla celou Evropskou unii, irské právní předpisy opravňují zaměstnavatele ukončit pracovní smlouvu kdykoli</w:t>
      </w:r>
      <w:r w:rsidR="0051719E">
        <w:rPr>
          <w:rFonts w:ascii="Times New Roman" w:hAnsi="Times New Roman"/>
          <w:sz w:val="24"/>
        </w:rPr>
        <w:t xml:space="preserve"> a </w:t>
      </w:r>
      <w:r>
        <w:rPr>
          <w:rFonts w:ascii="Times New Roman" w:hAnsi="Times New Roman"/>
          <w:sz w:val="24"/>
        </w:rPr>
        <w:t>bez udání důvodu. Výpověď</w:t>
      </w:r>
      <w:r w:rsidR="0051719E">
        <w:rPr>
          <w:rFonts w:ascii="Times New Roman" w:hAnsi="Times New Roman"/>
          <w:sz w:val="24"/>
        </w:rPr>
        <w:t xml:space="preserve"> s </w:t>
      </w:r>
      <w:r>
        <w:rPr>
          <w:rFonts w:ascii="Times New Roman" w:hAnsi="Times New Roman"/>
          <w:sz w:val="24"/>
        </w:rPr>
        <w:t xml:space="preserve">výpovědní lhůtou mohou dostat nadto pouze zaměstnanci starší 50 let. Během </w:t>
      </w:r>
      <w:r>
        <w:rPr>
          <w:rFonts w:ascii="Times New Roman" w:hAnsi="Times New Roman"/>
          <w:sz w:val="24"/>
        </w:rPr>
        <w:lastRenderedPageBreak/>
        <w:t>finanční krize se</w:t>
      </w:r>
      <w:r w:rsidR="0051719E">
        <w:rPr>
          <w:rFonts w:ascii="Times New Roman" w:hAnsi="Times New Roman"/>
          <w:sz w:val="24"/>
        </w:rPr>
        <w:t xml:space="preserve"> k </w:t>
      </w:r>
      <w:r>
        <w:rPr>
          <w:rFonts w:ascii="Times New Roman" w:hAnsi="Times New Roman"/>
          <w:sz w:val="24"/>
        </w:rPr>
        <w:t>moci dostala populistická vláda, která zrušila právní předpisy určené</w:t>
      </w:r>
      <w:r w:rsidR="0051719E">
        <w:rPr>
          <w:rFonts w:ascii="Times New Roman" w:hAnsi="Times New Roman"/>
          <w:sz w:val="24"/>
        </w:rPr>
        <w:t xml:space="preserve"> k </w:t>
      </w:r>
      <w:r>
        <w:rPr>
          <w:rFonts w:ascii="Times New Roman" w:hAnsi="Times New Roman"/>
          <w:sz w:val="24"/>
        </w:rPr>
        <w:t>boji proti diskriminaci</w:t>
      </w:r>
      <w:r w:rsidR="0051719E">
        <w:rPr>
          <w:rFonts w:ascii="Times New Roman" w:hAnsi="Times New Roman"/>
          <w:sz w:val="24"/>
        </w:rPr>
        <w:t xml:space="preserve"> v </w:t>
      </w:r>
      <w:r>
        <w:rPr>
          <w:rFonts w:ascii="Times New Roman" w:hAnsi="Times New Roman"/>
          <w:sz w:val="24"/>
        </w:rPr>
        <w:t xml:space="preserve">zaměstnání. </w:t>
      </w:r>
    </w:p>
    <w:p w14:paraId="0170FEB0" w14:textId="77777777" w:rsidR="00BF000D" w:rsidRPr="00A02388" w:rsidRDefault="00BF000D" w:rsidP="00A02388">
      <w:pPr>
        <w:spacing w:line="276" w:lineRule="auto"/>
        <w:jc w:val="both"/>
        <w:rPr>
          <w:rFonts w:ascii="Times New Roman" w:hAnsi="Times New Roman" w:cs="Times New Roman"/>
          <w:sz w:val="24"/>
          <w:szCs w:val="24"/>
        </w:rPr>
      </w:pPr>
      <w:r>
        <w:rPr>
          <w:rFonts w:ascii="Times New Roman" w:hAnsi="Times New Roman"/>
          <w:sz w:val="24"/>
        </w:rPr>
        <w:t>Lucie je zprávou</w:t>
      </w:r>
      <w:r w:rsidR="0051719E">
        <w:rPr>
          <w:rFonts w:ascii="Times New Roman" w:hAnsi="Times New Roman"/>
          <w:sz w:val="24"/>
        </w:rPr>
        <w:t xml:space="preserve"> o </w:t>
      </w:r>
      <w:r>
        <w:rPr>
          <w:rFonts w:ascii="Times New Roman" w:hAnsi="Times New Roman"/>
          <w:sz w:val="24"/>
        </w:rPr>
        <w:t>propuštění své sestry pobouřena</w:t>
      </w:r>
      <w:r w:rsidR="0051719E">
        <w:rPr>
          <w:rFonts w:ascii="Times New Roman" w:hAnsi="Times New Roman"/>
          <w:sz w:val="24"/>
        </w:rPr>
        <w:t xml:space="preserve"> a </w:t>
      </w:r>
      <w:r>
        <w:rPr>
          <w:rFonts w:ascii="Times New Roman" w:hAnsi="Times New Roman"/>
          <w:sz w:val="24"/>
        </w:rPr>
        <w:t>rozhodne se poslat zaměstnancům společnosti TAME e-mail,</w:t>
      </w:r>
      <w:r w:rsidR="0051719E">
        <w:rPr>
          <w:rFonts w:ascii="Times New Roman" w:hAnsi="Times New Roman"/>
          <w:sz w:val="24"/>
        </w:rPr>
        <w:t xml:space="preserve"> v </w:t>
      </w:r>
      <w:r>
        <w:rPr>
          <w:rFonts w:ascii="Times New Roman" w:hAnsi="Times New Roman"/>
          <w:sz w:val="24"/>
        </w:rPr>
        <w:t>němž informuje své kolegy</w:t>
      </w:r>
      <w:r w:rsidR="0051719E">
        <w:rPr>
          <w:rFonts w:ascii="Times New Roman" w:hAnsi="Times New Roman"/>
          <w:sz w:val="24"/>
        </w:rPr>
        <w:t xml:space="preserve"> o </w:t>
      </w:r>
      <w:r>
        <w:rPr>
          <w:rFonts w:ascii="Times New Roman" w:hAnsi="Times New Roman"/>
          <w:sz w:val="24"/>
        </w:rPr>
        <w:t>diskriminační politice společnosti. Tato zpráva vyvolala stávku zaměstnanců</w:t>
      </w:r>
      <w:r w:rsidR="0051719E">
        <w:rPr>
          <w:rFonts w:ascii="Times New Roman" w:hAnsi="Times New Roman"/>
          <w:sz w:val="24"/>
        </w:rPr>
        <w:t xml:space="preserve"> a </w:t>
      </w:r>
      <w:r>
        <w:rPr>
          <w:rFonts w:ascii="Times New Roman" w:hAnsi="Times New Roman"/>
          <w:sz w:val="24"/>
        </w:rPr>
        <w:t>správní rada společnosti TAME zahájila řízení</w:t>
      </w:r>
      <w:r w:rsidR="0051719E">
        <w:rPr>
          <w:rFonts w:ascii="Times New Roman" w:hAnsi="Times New Roman"/>
          <w:sz w:val="24"/>
        </w:rPr>
        <w:t xml:space="preserve"> o </w:t>
      </w:r>
      <w:r>
        <w:rPr>
          <w:rFonts w:ascii="Times New Roman" w:hAnsi="Times New Roman"/>
          <w:sz w:val="24"/>
        </w:rPr>
        <w:t>propuštění Lucie (která má smlouvu na dobu neurčitou). Lucie tvrdí, že pouze využila své svobody projevu, aniž by vyslovila jakoukoli urážku nebo hrozbu. Společnost TAME nevyplatí Lucii žádnou finanční náhradu za dovolenou, protože byla propuštěna za hrubé porušení pracovní kázně</w:t>
      </w:r>
      <w:r w:rsidR="0051719E">
        <w:rPr>
          <w:rFonts w:ascii="Times New Roman" w:hAnsi="Times New Roman"/>
          <w:sz w:val="24"/>
        </w:rPr>
        <w:t xml:space="preserve"> a </w:t>
      </w:r>
      <w:r>
        <w:rPr>
          <w:rFonts w:ascii="Times New Roman" w:hAnsi="Times New Roman"/>
          <w:sz w:val="24"/>
        </w:rPr>
        <w:t>podle nové protikrizové právní úpravy není zaměstnavatel povinen finanční náhradu za dovolenou</w:t>
      </w:r>
      <w:r w:rsidR="0051719E">
        <w:rPr>
          <w:rFonts w:ascii="Times New Roman" w:hAnsi="Times New Roman"/>
          <w:sz w:val="24"/>
        </w:rPr>
        <w:t xml:space="preserve"> v </w:t>
      </w:r>
      <w:r>
        <w:rPr>
          <w:rFonts w:ascii="Times New Roman" w:hAnsi="Times New Roman"/>
          <w:sz w:val="24"/>
        </w:rPr>
        <w:t>případě propuštění za hrubé porušení pracovní kázně platit.</w:t>
      </w:r>
    </w:p>
    <w:p w14:paraId="0E03053E" w14:textId="77777777" w:rsidR="00980441" w:rsidRDefault="00BF000D" w:rsidP="00A02388">
      <w:pPr>
        <w:spacing w:line="276" w:lineRule="auto"/>
        <w:jc w:val="both"/>
        <w:rPr>
          <w:rFonts w:ascii="Times New Roman" w:hAnsi="Times New Roman"/>
          <w:sz w:val="24"/>
        </w:rPr>
      </w:pPr>
      <w:r>
        <w:rPr>
          <w:rFonts w:ascii="Times New Roman" w:hAnsi="Times New Roman"/>
          <w:sz w:val="24"/>
        </w:rPr>
        <w:t>Obě dcery jsou nezaměstnané</w:t>
      </w:r>
      <w:r w:rsidR="0051719E">
        <w:rPr>
          <w:rFonts w:ascii="Times New Roman" w:hAnsi="Times New Roman"/>
          <w:sz w:val="24"/>
        </w:rPr>
        <w:t xml:space="preserve"> a </w:t>
      </w:r>
      <w:r>
        <w:rPr>
          <w:rFonts w:ascii="Times New Roman" w:hAnsi="Times New Roman"/>
          <w:sz w:val="24"/>
        </w:rPr>
        <w:t>nepobírají žádnou podporu</w:t>
      </w:r>
      <w:r w:rsidR="0051719E">
        <w:rPr>
          <w:rFonts w:ascii="Times New Roman" w:hAnsi="Times New Roman"/>
          <w:sz w:val="24"/>
        </w:rPr>
        <w:t xml:space="preserve"> v </w:t>
      </w:r>
      <w:r>
        <w:rPr>
          <w:rFonts w:ascii="Times New Roman" w:hAnsi="Times New Roman"/>
          <w:sz w:val="24"/>
        </w:rPr>
        <w:t>nezaměstnanosti (pojištění</w:t>
      </w:r>
      <w:r w:rsidR="0051719E">
        <w:rPr>
          <w:rFonts w:ascii="Times New Roman" w:hAnsi="Times New Roman"/>
          <w:sz w:val="24"/>
        </w:rPr>
        <w:t xml:space="preserve"> v </w:t>
      </w:r>
      <w:r>
        <w:rPr>
          <w:rFonts w:ascii="Times New Roman" w:hAnsi="Times New Roman"/>
          <w:sz w:val="24"/>
        </w:rPr>
        <w:t>nezaměstnanosti pro osoby mladší 50 let bylo vládou zrušeno). Požádají svého otce</w:t>
      </w:r>
      <w:r w:rsidR="0051719E">
        <w:rPr>
          <w:rFonts w:ascii="Times New Roman" w:hAnsi="Times New Roman"/>
          <w:sz w:val="24"/>
        </w:rPr>
        <w:t xml:space="preserve"> v </w:t>
      </w:r>
      <w:r>
        <w:rPr>
          <w:rFonts w:ascii="Times New Roman" w:hAnsi="Times New Roman"/>
          <w:sz w:val="24"/>
        </w:rPr>
        <w:t>Itálii</w:t>
      </w:r>
      <w:r w:rsidR="0051719E">
        <w:rPr>
          <w:rFonts w:ascii="Times New Roman" w:hAnsi="Times New Roman"/>
          <w:sz w:val="24"/>
        </w:rPr>
        <w:t xml:space="preserve"> o </w:t>
      </w:r>
      <w:r>
        <w:rPr>
          <w:rFonts w:ascii="Times New Roman" w:hAnsi="Times New Roman"/>
          <w:sz w:val="24"/>
        </w:rPr>
        <w:t>pomoc. Ten jim pomoci nemůže, protože italská vláda přijala</w:t>
      </w:r>
      <w:r w:rsidR="0051719E">
        <w:rPr>
          <w:rFonts w:ascii="Times New Roman" w:hAnsi="Times New Roman"/>
          <w:sz w:val="24"/>
        </w:rPr>
        <w:t xml:space="preserve"> v </w:t>
      </w:r>
      <w:r>
        <w:rPr>
          <w:rFonts w:ascii="Times New Roman" w:hAnsi="Times New Roman"/>
          <w:sz w:val="24"/>
        </w:rPr>
        <w:t>důsledku finanční krize úsporná opatření</w:t>
      </w:r>
      <w:r w:rsidR="0051719E">
        <w:rPr>
          <w:rFonts w:ascii="Times New Roman" w:hAnsi="Times New Roman"/>
          <w:sz w:val="24"/>
        </w:rPr>
        <w:t xml:space="preserve"> a </w:t>
      </w:r>
      <w:r>
        <w:rPr>
          <w:rFonts w:ascii="Times New Roman" w:hAnsi="Times New Roman"/>
          <w:sz w:val="24"/>
        </w:rPr>
        <w:t>snížila důchody</w:t>
      </w:r>
      <w:r w:rsidR="0051719E">
        <w:rPr>
          <w:rFonts w:ascii="Times New Roman" w:hAnsi="Times New Roman"/>
          <w:sz w:val="24"/>
        </w:rPr>
        <w:t xml:space="preserve"> o </w:t>
      </w:r>
      <w:r>
        <w:rPr>
          <w:rFonts w:ascii="Times New Roman" w:hAnsi="Times New Roman"/>
          <w:sz w:val="24"/>
        </w:rPr>
        <w:t>70</w:t>
      </w:r>
      <w:r w:rsidR="0051719E">
        <w:rPr>
          <w:rFonts w:ascii="Times New Roman" w:hAnsi="Times New Roman"/>
          <w:sz w:val="24"/>
        </w:rPr>
        <w:t> %</w:t>
      </w:r>
      <w:r>
        <w:rPr>
          <w:rFonts w:ascii="Times New Roman" w:hAnsi="Times New Roman"/>
          <w:sz w:val="24"/>
        </w:rPr>
        <w:t xml:space="preserve">. </w:t>
      </w:r>
    </w:p>
    <w:p w14:paraId="66E75C8F" w14:textId="55F0B2AA" w:rsidR="00BF000D" w:rsidRPr="00A02388" w:rsidRDefault="00BF000D" w:rsidP="00A02388">
      <w:pPr>
        <w:spacing w:line="276" w:lineRule="auto"/>
        <w:jc w:val="both"/>
        <w:rPr>
          <w:rFonts w:ascii="Times New Roman" w:hAnsi="Times New Roman" w:cs="Times New Roman"/>
          <w:sz w:val="24"/>
          <w:szCs w:val="24"/>
        </w:rPr>
      </w:pPr>
      <w:r w:rsidRPr="00980441">
        <w:rPr>
          <w:rFonts w:ascii="Times New Roman" w:hAnsi="Times New Roman"/>
          <w:b/>
          <w:bCs/>
          <w:sz w:val="24"/>
        </w:rPr>
        <w:t>Rodina Litelových vás také žádá, abyste podnikli právní kroky proti italské</w:t>
      </w:r>
      <w:r w:rsidR="0051719E" w:rsidRPr="00980441">
        <w:rPr>
          <w:rFonts w:ascii="Times New Roman" w:hAnsi="Times New Roman"/>
          <w:b/>
          <w:bCs/>
          <w:sz w:val="24"/>
        </w:rPr>
        <w:t xml:space="preserve"> a </w:t>
      </w:r>
      <w:r w:rsidRPr="00980441">
        <w:rPr>
          <w:rFonts w:ascii="Times New Roman" w:hAnsi="Times New Roman"/>
          <w:b/>
          <w:bCs/>
          <w:sz w:val="24"/>
        </w:rPr>
        <w:t>irské vládě</w:t>
      </w:r>
      <w:r>
        <w:rPr>
          <w:rFonts w:ascii="Times New Roman" w:hAnsi="Times New Roman"/>
          <w:sz w:val="24"/>
        </w:rPr>
        <w:t>, protože již nemají žádné finanční prostředky na život</w:t>
      </w:r>
      <w:r w:rsidR="0051719E">
        <w:rPr>
          <w:rFonts w:ascii="Times New Roman" w:hAnsi="Times New Roman"/>
          <w:sz w:val="24"/>
        </w:rPr>
        <w:t xml:space="preserve"> a </w:t>
      </w:r>
      <w:r>
        <w:rPr>
          <w:rFonts w:ascii="Times New Roman" w:hAnsi="Times New Roman"/>
          <w:sz w:val="24"/>
        </w:rPr>
        <w:t>otec</w:t>
      </w:r>
      <w:r w:rsidR="0051719E">
        <w:rPr>
          <w:rFonts w:ascii="Times New Roman" w:hAnsi="Times New Roman"/>
          <w:sz w:val="24"/>
        </w:rPr>
        <w:t xml:space="preserve"> a </w:t>
      </w:r>
      <w:r>
        <w:rPr>
          <w:rFonts w:ascii="Times New Roman" w:hAnsi="Times New Roman"/>
          <w:sz w:val="24"/>
        </w:rPr>
        <w:t>dvě dcery jsou obzvláště zranitelní.</w:t>
      </w:r>
    </w:p>
    <w:p w14:paraId="54D6C3C0" w14:textId="77777777" w:rsidR="00B55190" w:rsidRDefault="00BF000D" w:rsidP="00A02388">
      <w:pPr>
        <w:spacing w:line="276" w:lineRule="auto"/>
        <w:jc w:val="both"/>
        <w:rPr>
          <w:rFonts w:ascii="Times New Roman" w:hAnsi="Times New Roman" w:cs="Times New Roman"/>
          <w:sz w:val="24"/>
          <w:szCs w:val="24"/>
        </w:rPr>
      </w:pPr>
      <w:r>
        <w:rPr>
          <w:rFonts w:ascii="Times New Roman" w:hAnsi="Times New Roman"/>
          <w:sz w:val="24"/>
        </w:rPr>
        <w:t>Před zahájením tohoto složitého řízení žádá rodina Litelových</w:t>
      </w:r>
      <w:r w:rsidR="0051719E">
        <w:rPr>
          <w:rFonts w:ascii="Times New Roman" w:hAnsi="Times New Roman"/>
          <w:sz w:val="24"/>
        </w:rPr>
        <w:t xml:space="preserve"> o </w:t>
      </w:r>
      <w:r>
        <w:rPr>
          <w:rFonts w:ascii="Times New Roman" w:hAnsi="Times New Roman"/>
          <w:sz w:val="24"/>
        </w:rPr>
        <w:t>právní poradenství.</w:t>
      </w:r>
    </w:p>
    <w:p w14:paraId="4E206DF9" w14:textId="77777777" w:rsidR="00210F88" w:rsidRDefault="00210F88" w:rsidP="00210F88">
      <w:pPr>
        <w:spacing w:line="276" w:lineRule="auto"/>
        <w:jc w:val="center"/>
        <w:rPr>
          <w:rFonts w:ascii="Times New Roman" w:hAnsi="Times New Roman" w:cs="Times New Roman"/>
          <w:sz w:val="24"/>
          <w:szCs w:val="24"/>
        </w:rPr>
      </w:pPr>
      <w:r>
        <w:rPr>
          <w:rFonts w:ascii="Times New Roman" w:hAnsi="Times New Roman"/>
          <w:sz w:val="24"/>
        </w:rPr>
        <w:t>***</w:t>
      </w:r>
    </w:p>
    <w:p w14:paraId="4D27BF66" w14:textId="77777777" w:rsidR="00210F88" w:rsidRDefault="00210F88">
      <w:pPr>
        <w:rPr>
          <w:rFonts w:ascii="Times New Roman" w:hAnsi="Times New Roman" w:cs="Times New Roman"/>
          <w:sz w:val="24"/>
          <w:szCs w:val="24"/>
        </w:rPr>
      </w:pPr>
      <w:r>
        <w:br w:type="page"/>
      </w:r>
    </w:p>
    <w:p w14:paraId="253FD234" w14:textId="77777777" w:rsidR="00785B95" w:rsidRDefault="00785B95" w:rsidP="00F02310">
      <w:pPr>
        <w:pStyle w:val="Odstavecseseznamem"/>
        <w:ind w:left="2844" w:firstLine="696"/>
        <w:rPr>
          <w:rFonts w:ascii="Calibri" w:hAnsi="Calibri"/>
          <w:b/>
          <w:color w:val="156082" w:themeColor="accent1"/>
          <w:sz w:val="28"/>
        </w:rPr>
      </w:pPr>
    </w:p>
    <w:p w14:paraId="08E69303" w14:textId="5A41B168" w:rsidR="00210F88" w:rsidRDefault="00742EBA" w:rsidP="00F02310">
      <w:pPr>
        <w:pStyle w:val="Odstavecseseznamem"/>
        <w:ind w:left="2844" w:firstLine="696"/>
        <w:rPr>
          <w:rFonts w:ascii="Calibri" w:hAnsi="Calibri"/>
          <w:b/>
          <w:color w:val="156082" w:themeColor="accent1"/>
          <w:sz w:val="28"/>
        </w:rPr>
      </w:pPr>
      <w:r w:rsidRPr="008536E0">
        <w:rPr>
          <w:rFonts w:ascii="Calibri" w:hAnsi="Calibri"/>
          <w:b/>
          <w:color w:val="156082" w:themeColor="accent1"/>
          <w:sz w:val="28"/>
        </w:rPr>
        <w:t>NÁVOD NA ŘEŠENÍ</w:t>
      </w:r>
    </w:p>
    <w:p w14:paraId="76F81D81" w14:textId="07CA12C9" w:rsidR="00785B95" w:rsidRPr="00785B95" w:rsidRDefault="00000000" w:rsidP="00785B95">
      <w:pPr>
        <w:rPr>
          <w:rFonts w:ascii="Calibri" w:hAnsi="Calibri" w:cs="Calibri"/>
          <w:b/>
          <w:bCs/>
          <w:color w:val="156082" w:themeColor="accent1"/>
          <w:sz w:val="28"/>
          <w:szCs w:val="28"/>
        </w:rPr>
      </w:pPr>
      <w:bookmarkStart w:id="1" w:name="_Hlk185342349"/>
      <w:r>
        <w:rPr>
          <w:rFonts w:ascii="Calibri" w:hAnsi="Calibri" w:cs="Calibri"/>
          <w:b/>
          <w:bCs/>
          <w:i/>
          <w:iCs/>
          <w:color w:val="156082" w:themeColor="accent1"/>
          <w:sz w:val="24"/>
          <w:szCs w:val="24"/>
          <w:lang w:val="en-GB"/>
        </w:rPr>
        <w:pict w14:anchorId="72782FAE">
          <v:rect id="_x0000_i1026" style="width:422.3pt;height:1pt" o:hrpct="931" o:hralign="center" o:hrstd="t" o:hrnoshade="t" o:hr="t" fillcolor="#002060" stroked="f"/>
        </w:pict>
      </w:r>
      <w:bookmarkEnd w:id="1"/>
    </w:p>
    <w:p w14:paraId="0183E793" w14:textId="1F89D3A5" w:rsidR="00785B95" w:rsidRDefault="00000000" w:rsidP="00785B95">
      <w:pPr>
        <w:rPr>
          <w:rFonts w:ascii="Times New Roman" w:hAnsi="Times New Roman"/>
          <w:b/>
          <w:color w:val="215E99" w:themeColor="text2" w:themeTint="BF"/>
          <w:sz w:val="24"/>
          <w:u w:val="single"/>
        </w:rPr>
      </w:pPr>
      <w:r>
        <w:rPr>
          <w:rFonts w:ascii="Open Sans" w:hAnsi="Open Sans" w:cs="Open Sans"/>
          <w:b/>
          <w:bCs/>
          <w:noProof/>
          <w:color w:val="000000"/>
          <w:sz w:val="18"/>
          <w:szCs w:val="18"/>
        </w:rPr>
        <w:pict w14:anchorId="5D13E37C">
          <v:roundrect id="_x0000_s2053" style="position:absolute;margin-left:-4.4pt;margin-top:16.5pt;width:444pt;height:84.75pt;z-index:251665408;visibility:visible;mso-wrap-style:square;mso-width-percent:0;mso-height-percent:0;mso-wrap-distance-left:9pt;mso-wrap-distance-top:3.6pt;mso-wrap-distance-right:9pt;mso-wrap-distance-bottom:3.6pt;mso-position-horizontal-relative:margin;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" fillcolor="#dceaf7 [351]" strokecolor="#c1e4f5 [660]">
            <v:stroke joinstyle="miter"/>
            <v:textbox style="mso-next-textbox:#_x0000_s2053">
              <w:txbxContent>
                <w:p w14:paraId="38943F5F" w14:textId="77777777" w:rsidR="00785B95" w:rsidRPr="00A5597C" w:rsidRDefault="00785B95" w:rsidP="00785B95">
                  <w:pPr>
                    <w:jc w:val="both"/>
                    <w:rPr>
                      <w:rFonts w:ascii="Calibri Light" w:hAnsi="Calibri Light" w:cs="Calibri Light"/>
                      <w:sz w:val="24"/>
                      <w:szCs w:val="24"/>
                    </w:rPr>
                  </w:pPr>
                  <w:r>
                    <w:rPr>
                      <w:rFonts w:ascii="Calibri Light" w:hAnsi="Calibri Light" w:cs="Calibri Light"/>
                      <w:noProof/>
                      <w:sz w:val="24"/>
                      <w:szCs w:val="24"/>
                      <w:lang w:val="en-GB"/>
                    </w:rPr>
                    <w:drawing>
                      <wp:inline distT="0" distB="0" distL="0" distR="0" wp14:anchorId="5A1AB7FC" wp14:editId="4E112CEA">
                        <wp:extent cx="400050" cy="400050"/>
                        <wp:effectExtent l="0" t="0" r="0" b="0"/>
                        <wp:docPr id="663155760" name="Graphique 9" descr="Information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68402" name="Graphique 1095068402" descr="Informations contour"/>
                                <pic:cNvPicPr/>
                              </pic:nvPicPr>
                              <pic:blipFill>
                                <a:blip r:embed="rId12">
                                  <a:extLst>
                                    <a:ext uri="{96DAC541-7B7A-43D3-8B79-37D633B846F1}">
                                      <asvg:svgBlip xmlns:asvg="http://schemas.microsoft.com/office/drawing/2016/SVG/main" r:embed="rId13"/>
                                    </a:ext>
                                  </a:extLst>
                                </a:blip>
                                <a:stretch>
                                  <a:fillRect/>
                                </a:stretch>
                              </pic:blipFill>
                              <pic:spPr>
                                <a:xfrm>
                                  <a:off x="0" y="0"/>
                                  <a:ext cx="400050" cy="400050"/>
                                </a:xfrm>
                                <a:prstGeom prst="rect">
                                  <a:avLst/>
                                </a:prstGeom>
                              </pic:spPr>
                            </pic:pic>
                          </a:graphicData>
                        </a:graphic>
                      </wp:inline>
                    </w:drawing>
                  </w:r>
                  <w:r w:rsidRPr="00A5597C">
                    <w:t xml:space="preserve"> </w:t>
                  </w:r>
                  <w:r w:rsidRPr="00A5597C">
                    <w:rPr>
                      <w:rFonts w:ascii="Times New Roman" w:hAnsi="Times New Roman" w:cs="Times New Roman"/>
                    </w:rPr>
                    <w:t xml:space="preserve">Tato sekce </w:t>
                  </w:r>
                  <w:r>
                    <w:rPr>
                      <w:rFonts w:ascii="Times New Roman" w:hAnsi="Times New Roman" w:cs="Times New Roman"/>
                    </w:rPr>
                    <w:t>uvádí</w:t>
                  </w:r>
                  <w:r w:rsidRPr="00A5597C">
                    <w:rPr>
                      <w:rFonts w:ascii="Times New Roman" w:hAnsi="Times New Roman" w:cs="Times New Roman"/>
                    </w:rPr>
                    <w:t xml:space="preserve"> podrobnou právní analýzu a konkrétní kroky k vyřešení případu. Školitelé mohou tento </w:t>
                  </w:r>
                  <w:r>
                    <w:rPr>
                      <w:rFonts w:ascii="Times New Roman" w:hAnsi="Times New Roman" w:cs="Times New Roman"/>
                    </w:rPr>
                    <w:t>návod</w:t>
                  </w:r>
                  <w:r w:rsidRPr="00A5597C">
                    <w:rPr>
                      <w:rFonts w:ascii="Times New Roman" w:hAnsi="Times New Roman" w:cs="Times New Roman"/>
                    </w:rPr>
                    <w:t xml:space="preserve"> použít k usnadnění diskuse a pomoci účastníkům školení při aplikaci právních principů.</w:t>
                  </w:r>
                </w:p>
                <w:p w14:paraId="2A4FFFF2" w14:textId="77777777" w:rsidR="00785B95" w:rsidRPr="00A5597C" w:rsidRDefault="00785B95" w:rsidP="00785B95"/>
              </w:txbxContent>
            </v:textbox>
            <w10:wrap type="square" anchorx="margin"/>
          </v:roundrect>
        </w:pict>
      </w:r>
    </w:p>
    <w:p w14:paraId="44AB218A" w14:textId="3FE826FB" w:rsidR="00210F88" w:rsidRPr="008536E0" w:rsidRDefault="00742EBA" w:rsidP="00785B95">
      <w:pPr>
        <w:rPr>
          <w:rFonts w:ascii="Times New Roman" w:hAnsi="Times New Roman" w:cs="Times New Roman"/>
          <w:b/>
          <w:bCs/>
          <w:color w:val="215E99" w:themeColor="text2" w:themeTint="BF"/>
          <w:sz w:val="24"/>
          <w:szCs w:val="24"/>
          <w:u w:val="single"/>
        </w:rPr>
      </w:pPr>
      <w:r w:rsidRPr="008536E0">
        <w:rPr>
          <w:rFonts w:ascii="Times New Roman" w:hAnsi="Times New Roman"/>
          <w:b/>
          <w:color w:val="215E99" w:themeColor="text2" w:themeTint="BF"/>
          <w:sz w:val="24"/>
          <w:u w:val="single"/>
        </w:rPr>
        <w:t xml:space="preserve">1. První </w:t>
      </w:r>
      <w:r w:rsidR="00D95FAA">
        <w:rPr>
          <w:rFonts w:ascii="Times New Roman" w:hAnsi="Times New Roman"/>
          <w:b/>
          <w:color w:val="215E99" w:themeColor="text2" w:themeTint="BF"/>
          <w:sz w:val="24"/>
          <w:u w:val="single"/>
        </w:rPr>
        <w:t xml:space="preserve">právní </w:t>
      </w:r>
      <w:r w:rsidRPr="008536E0">
        <w:rPr>
          <w:rFonts w:ascii="Times New Roman" w:hAnsi="Times New Roman"/>
          <w:b/>
          <w:color w:val="215E99" w:themeColor="text2" w:themeTint="BF"/>
          <w:sz w:val="24"/>
          <w:u w:val="single"/>
        </w:rPr>
        <w:t>otázka: vypovězení smlouvy</w:t>
      </w:r>
      <w:r w:rsidR="0051719E" w:rsidRPr="008536E0">
        <w:rPr>
          <w:rFonts w:ascii="Times New Roman" w:hAnsi="Times New Roman"/>
          <w:b/>
          <w:color w:val="215E99" w:themeColor="text2" w:themeTint="BF"/>
          <w:sz w:val="24"/>
          <w:u w:val="single"/>
        </w:rPr>
        <w:t xml:space="preserve"> s </w:t>
      </w:r>
      <w:r w:rsidRPr="008536E0">
        <w:rPr>
          <w:rFonts w:ascii="Times New Roman" w:hAnsi="Times New Roman"/>
          <w:b/>
          <w:color w:val="215E99" w:themeColor="text2" w:themeTint="BF"/>
          <w:sz w:val="24"/>
          <w:u w:val="single"/>
        </w:rPr>
        <w:t>Marií</w:t>
      </w:r>
      <w:r w:rsidR="0051719E" w:rsidRPr="008536E0">
        <w:rPr>
          <w:rFonts w:ascii="Times New Roman" w:hAnsi="Times New Roman"/>
          <w:b/>
          <w:color w:val="215E99" w:themeColor="text2" w:themeTint="BF"/>
          <w:sz w:val="24"/>
          <w:u w:val="single"/>
        </w:rPr>
        <w:t xml:space="preserve"> z </w:t>
      </w:r>
      <w:r w:rsidRPr="008536E0">
        <w:rPr>
          <w:rFonts w:ascii="Times New Roman" w:hAnsi="Times New Roman"/>
          <w:b/>
          <w:color w:val="215E99" w:themeColor="text2" w:themeTint="BF"/>
          <w:sz w:val="24"/>
          <w:u w:val="single"/>
        </w:rPr>
        <w:t>náboženských důvodů</w:t>
      </w:r>
    </w:p>
    <w:p w14:paraId="7432948E" w14:textId="77777777" w:rsidR="00210F88" w:rsidRPr="008536E0" w:rsidRDefault="00210F88" w:rsidP="008536E0">
      <w:pPr>
        <w:jc w:val="both"/>
        <w:rPr>
          <w:rFonts w:ascii="Times New Roman" w:hAnsi="Times New Roman" w:cs="Times New Roman"/>
          <w:b/>
          <w:bCs/>
          <w:sz w:val="24"/>
          <w:szCs w:val="24"/>
        </w:rPr>
      </w:pPr>
      <w:r w:rsidRPr="008536E0">
        <w:rPr>
          <w:rFonts w:ascii="Times New Roman" w:hAnsi="Times New Roman"/>
          <w:b/>
          <w:sz w:val="24"/>
        </w:rPr>
        <w:t xml:space="preserve">Skutečnosti </w:t>
      </w:r>
    </w:p>
    <w:p w14:paraId="5379FB3A" w14:textId="77777777" w:rsidR="00210F88" w:rsidRPr="00742EBA" w:rsidRDefault="00210F88" w:rsidP="00210F88">
      <w:pPr>
        <w:jc w:val="both"/>
        <w:rPr>
          <w:rFonts w:ascii="Times New Roman" w:hAnsi="Times New Roman" w:cs="Times New Roman"/>
          <w:sz w:val="24"/>
          <w:szCs w:val="24"/>
        </w:rPr>
      </w:pPr>
      <w:r>
        <w:rPr>
          <w:rFonts w:ascii="Times New Roman" w:hAnsi="Times New Roman"/>
          <w:sz w:val="24"/>
        </w:rPr>
        <w:t>Maria pracuje pro společnost TAME od roku 2015, ale na dobu určitou</w:t>
      </w:r>
      <w:r w:rsidR="0051719E">
        <w:rPr>
          <w:rFonts w:ascii="Times New Roman" w:hAnsi="Times New Roman"/>
          <w:sz w:val="24"/>
        </w:rPr>
        <w:t xml:space="preserve"> s </w:t>
      </w:r>
      <w:r>
        <w:rPr>
          <w:rFonts w:ascii="Times New Roman" w:hAnsi="Times New Roman"/>
          <w:sz w:val="24"/>
        </w:rPr>
        <w:t>možností prodloužení na 6 měsíců.  Společnost TAME ukončila Mariinu smlouvu na dobu určitou, aniž by uvedla důvod.</w:t>
      </w:r>
    </w:p>
    <w:p w14:paraId="09A7D2CA" w14:textId="77777777" w:rsidR="00210F88" w:rsidRPr="00742EBA" w:rsidRDefault="00210F88" w:rsidP="00210F88">
      <w:pPr>
        <w:jc w:val="both"/>
        <w:rPr>
          <w:rFonts w:ascii="Times New Roman" w:hAnsi="Times New Roman" w:cs="Times New Roman"/>
          <w:sz w:val="24"/>
          <w:szCs w:val="24"/>
        </w:rPr>
      </w:pPr>
      <w:r>
        <w:rPr>
          <w:rFonts w:ascii="Times New Roman" w:hAnsi="Times New Roman"/>
          <w:sz w:val="24"/>
        </w:rPr>
        <w:t>Maria tvrdí, že ukončení její smlouvy souvisí</w:t>
      </w:r>
      <w:r w:rsidR="0051719E">
        <w:rPr>
          <w:rFonts w:ascii="Times New Roman" w:hAnsi="Times New Roman"/>
          <w:sz w:val="24"/>
        </w:rPr>
        <w:t xml:space="preserve"> s </w:t>
      </w:r>
      <w:r>
        <w:rPr>
          <w:rFonts w:ascii="Times New Roman" w:hAnsi="Times New Roman"/>
          <w:sz w:val="24"/>
        </w:rPr>
        <w:t>tím, že je od roku 2020 členkou scientologické církve, zatímco společnost TAME to popírá</w:t>
      </w:r>
      <w:r w:rsidR="0051719E">
        <w:rPr>
          <w:rFonts w:ascii="Times New Roman" w:hAnsi="Times New Roman"/>
          <w:sz w:val="24"/>
        </w:rPr>
        <w:t xml:space="preserve"> a </w:t>
      </w:r>
      <w:r>
        <w:rPr>
          <w:rFonts w:ascii="Times New Roman" w:hAnsi="Times New Roman"/>
          <w:sz w:val="24"/>
        </w:rPr>
        <w:t>tvrdí, že její rozhodnutí souvisí výhradně</w:t>
      </w:r>
      <w:r w:rsidR="0051719E">
        <w:rPr>
          <w:rFonts w:ascii="Times New Roman" w:hAnsi="Times New Roman"/>
          <w:sz w:val="24"/>
        </w:rPr>
        <w:t xml:space="preserve"> s </w:t>
      </w:r>
      <w:r>
        <w:rPr>
          <w:rFonts w:ascii="Times New Roman" w:hAnsi="Times New Roman"/>
          <w:sz w:val="24"/>
        </w:rPr>
        <w:t>tím, že tato církev má konkurovat jejímu podnikání</w:t>
      </w:r>
      <w:r w:rsidR="0051719E">
        <w:rPr>
          <w:rFonts w:ascii="Times New Roman" w:hAnsi="Times New Roman"/>
          <w:sz w:val="24"/>
        </w:rPr>
        <w:t xml:space="preserve"> v </w:t>
      </w:r>
      <w:r>
        <w:rPr>
          <w:rFonts w:ascii="Times New Roman" w:hAnsi="Times New Roman"/>
          <w:sz w:val="24"/>
        </w:rPr>
        <w:t>oblasti vývoje umělé inteligence</w:t>
      </w:r>
      <w:r w:rsidR="0051719E">
        <w:rPr>
          <w:rFonts w:ascii="Times New Roman" w:hAnsi="Times New Roman"/>
          <w:sz w:val="24"/>
        </w:rPr>
        <w:t xml:space="preserve"> a </w:t>
      </w:r>
      <w:r>
        <w:rPr>
          <w:rFonts w:ascii="Times New Roman" w:hAnsi="Times New Roman"/>
          <w:sz w:val="24"/>
        </w:rPr>
        <w:t>že společnost nemůže souhlasit</w:t>
      </w:r>
      <w:r w:rsidR="0051719E">
        <w:rPr>
          <w:rFonts w:ascii="Times New Roman" w:hAnsi="Times New Roman"/>
          <w:sz w:val="24"/>
        </w:rPr>
        <w:t xml:space="preserve"> s </w:t>
      </w:r>
      <w:r>
        <w:rPr>
          <w:rFonts w:ascii="Times New Roman" w:hAnsi="Times New Roman"/>
          <w:sz w:val="24"/>
        </w:rPr>
        <w:t>tím, aby byly její patenty podvodně zneužívány.</w:t>
      </w:r>
    </w:p>
    <w:p w14:paraId="064E4662" w14:textId="77777777" w:rsidR="00210F88" w:rsidRPr="00742EBA" w:rsidRDefault="00210F88" w:rsidP="00210F88">
      <w:pPr>
        <w:jc w:val="both"/>
        <w:rPr>
          <w:rFonts w:ascii="Times New Roman" w:hAnsi="Times New Roman" w:cs="Times New Roman"/>
          <w:sz w:val="24"/>
          <w:szCs w:val="24"/>
        </w:rPr>
      </w:pPr>
      <w:r>
        <w:rPr>
          <w:rFonts w:ascii="Times New Roman" w:hAnsi="Times New Roman"/>
          <w:sz w:val="24"/>
        </w:rPr>
        <w:t>Maria vás žádá, abyste na základě Listiny základních práv zahájili řízení,</w:t>
      </w:r>
      <w:r w:rsidR="0051719E">
        <w:rPr>
          <w:rFonts w:ascii="Times New Roman" w:hAnsi="Times New Roman"/>
          <w:sz w:val="24"/>
        </w:rPr>
        <w:t xml:space="preserve"> v </w:t>
      </w:r>
      <w:r>
        <w:rPr>
          <w:rFonts w:ascii="Times New Roman" w:hAnsi="Times New Roman"/>
          <w:sz w:val="24"/>
        </w:rPr>
        <w:t>rámci kterého byste podali stížnost na její diskriminační propuštění. Od roku 2024, po velké finanční krizi, která zasáhla celou Evropskou unii, irské právní předpisy opravňují zaměstnavatele ukončit pracovní smlouvu kdykoli</w:t>
      </w:r>
      <w:r w:rsidR="0051719E">
        <w:rPr>
          <w:rFonts w:ascii="Times New Roman" w:hAnsi="Times New Roman"/>
          <w:sz w:val="24"/>
        </w:rPr>
        <w:t xml:space="preserve"> a </w:t>
      </w:r>
      <w:r>
        <w:rPr>
          <w:rFonts w:ascii="Times New Roman" w:hAnsi="Times New Roman"/>
          <w:sz w:val="24"/>
        </w:rPr>
        <w:t>bez udání důvodu.  Výpověď</w:t>
      </w:r>
      <w:r w:rsidR="0051719E">
        <w:rPr>
          <w:rFonts w:ascii="Times New Roman" w:hAnsi="Times New Roman"/>
          <w:sz w:val="24"/>
        </w:rPr>
        <w:t xml:space="preserve"> s </w:t>
      </w:r>
      <w:r>
        <w:rPr>
          <w:rFonts w:ascii="Times New Roman" w:hAnsi="Times New Roman"/>
          <w:sz w:val="24"/>
        </w:rPr>
        <w:t>výpovědní lhůtou mohou dostat nadto pouze zaměstnanci starší 50 let. Během finanční krize se</w:t>
      </w:r>
      <w:r w:rsidR="0051719E">
        <w:rPr>
          <w:rFonts w:ascii="Times New Roman" w:hAnsi="Times New Roman"/>
          <w:sz w:val="24"/>
        </w:rPr>
        <w:t xml:space="preserve"> k </w:t>
      </w:r>
      <w:r>
        <w:rPr>
          <w:rFonts w:ascii="Times New Roman" w:hAnsi="Times New Roman"/>
          <w:sz w:val="24"/>
        </w:rPr>
        <w:t>moci dostala populistická vláda, která zrušila právní předpisy určené</w:t>
      </w:r>
      <w:r w:rsidR="0051719E">
        <w:rPr>
          <w:rFonts w:ascii="Times New Roman" w:hAnsi="Times New Roman"/>
          <w:sz w:val="24"/>
        </w:rPr>
        <w:t xml:space="preserve"> k </w:t>
      </w:r>
      <w:r>
        <w:rPr>
          <w:rFonts w:ascii="Times New Roman" w:hAnsi="Times New Roman"/>
          <w:sz w:val="24"/>
        </w:rPr>
        <w:t>boji proti diskriminaci</w:t>
      </w:r>
      <w:r w:rsidR="0051719E">
        <w:rPr>
          <w:rFonts w:ascii="Times New Roman" w:hAnsi="Times New Roman"/>
          <w:sz w:val="24"/>
        </w:rPr>
        <w:t xml:space="preserve"> v </w:t>
      </w:r>
      <w:r>
        <w:rPr>
          <w:rFonts w:ascii="Times New Roman" w:hAnsi="Times New Roman"/>
          <w:sz w:val="24"/>
        </w:rPr>
        <w:t xml:space="preserve">zaměstnání. </w:t>
      </w:r>
    </w:p>
    <w:p w14:paraId="03EEDD85" w14:textId="77777777" w:rsidR="00210F88" w:rsidRPr="00742EBA" w:rsidRDefault="00210F88" w:rsidP="00210F88">
      <w:pPr>
        <w:rPr>
          <w:rFonts w:ascii="Times New Roman" w:hAnsi="Times New Roman" w:cs="Times New Roman"/>
          <w:sz w:val="24"/>
          <w:szCs w:val="24"/>
        </w:rPr>
      </w:pPr>
      <w:bookmarkStart w:id="2" w:name="_Hlk168683419"/>
    </w:p>
    <w:p w14:paraId="7DB4E877" w14:textId="77777777" w:rsidR="00210F88" w:rsidRPr="008536E0" w:rsidRDefault="00210F88" w:rsidP="008536E0">
      <w:pPr>
        <w:rPr>
          <w:rFonts w:ascii="Times New Roman" w:hAnsi="Times New Roman" w:cs="Times New Roman"/>
          <w:b/>
          <w:bCs/>
          <w:sz w:val="24"/>
          <w:szCs w:val="24"/>
        </w:rPr>
      </w:pPr>
      <w:r w:rsidRPr="008536E0">
        <w:rPr>
          <w:rFonts w:ascii="Times New Roman" w:hAnsi="Times New Roman"/>
          <w:b/>
          <w:sz w:val="24"/>
        </w:rPr>
        <w:t>Použitelná ustanovení</w:t>
      </w:r>
      <w:bookmarkStart w:id="3" w:name="_Hlk168657254"/>
      <w:bookmarkEnd w:id="2"/>
      <w:r w:rsidRPr="008536E0">
        <w:rPr>
          <w:rFonts w:ascii="Times New Roman" w:hAnsi="Times New Roman"/>
          <w:b/>
          <w:sz w:val="24"/>
        </w:rPr>
        <w:t xml:space="preserve"> </w:t>
      </w:r>
    </w:p>
    <w:p w14:paraId="2047236E" w14:textId="77777777" w:rsidR="00210F88" w:rsidRPr="00465349" w:rsidRDefault="00210F88" w:rsidP="00465349">
      <w:pPr>
        <w:pStyle w:val="Odstavecseseznamem"/>
        <w:numPr>
          <w:ilvl w:val="0"/>
          <w:numId w:val="6"/>
        </w:numPr>
        <w:rPr>
          <w:rFonts w:ascii="Times New Roman" w:hAnsi="Times New Roman" w:cs="Times New Roman"/>
          <w:sz w:val="24"/>
          <w:szCs w:val="24"/>
        </w:rPr>
      </w:pPr>
      <w:r w:rsidRPr="00465349">
        <w:rPr>
          <w:rFonts w:ascii="Times New Roman" w:hAnsi="Times New Roman"/>
          <w:sz w:val="24"/>
        </w:rPr>
        <w:t>Články 10, 30</w:t>
      </w:r>
      <w:r w:rsidR="0051719E" w:rsidRPr="00465349">
        <w:rPr>
          <w:rFonts w:ascii="Times New Roman" w:hAnsi="Times New Roman"/>
          <w:sz w:val="24"/>
        </w:rPr>
        <w:t xml:space="preserve"> a </w:t>
      </w:r>
      <w:r w:rsidRPr="00465349">
        <w:rPr>
          <w:rFonts w:ascii="Times New Roman" w:hAnsi="Times New Roman"/>
          <w:sz w:val="24"/>
        </w:rPr>
        <w:t>51 Listiny.</w:t>
      </w:r>
    </w:p>
    <w:p w14:paraId="6426F2B9" w14:textId="77777777" w:rsidR="00210F88" w:rsidRPr="00465349" w:rsidRDefault="00210F88" w:rsidP="00465349">
      <w:pPr>
        <w:pStyle w:val="Odstavecseseznamem"/>
        <w:numPr>
          <w:ilvl w:val="0"/>
          <w:numId w:val="6"/>
        </w:numPr>
        <w:jc w:val="both"/>
        <w:rPr>
          <w:rFonts w:ascii="Times New Roman" w:hAnsi="Times New Roman" w:cs="Times New Roman"/>
          <w:sz w:val="24"/>
          <w:szCs w:val="24"/>
        </w:rPr>
      </w:pPr>
      <w:r w:rsidRPr="00465349">
        <w:rPr>
          <w:rFonts w:ascii="Times New Roman" w:hAnsi="Times New Roman"/>
          <w:sz w:val="24"/>
        </w:rPr>
        <w:t>Směrnice 1999/70/ES ze dne 28. června 1999</w:t>
      </w:r>
      <w:r w:rsidR="0051719E" w:rsidRPr="00465349">
        <w:rPr>
          <w:rFonts w:ascii="Times New Roman" w:hAnsi="Times New Roman"/>
          <w:sz w:val="24"/>
        </w:rPr>
        <w:t xml:space="preserve"> o </w:t>
      </w:r>
      <w:r w:rsidRPr="00465349">
        <w:rPr>
          <w:rFonts w:ascii="Times New Roman" w:hAnsi="Times New Roman"/>
          <w:sz w:val="24"/>
        </w:rPr>
        <w:t>rámcové dohodě</w:t>
      </w:r>
      <w:r w:rsidR="0051719E" w:rsidRPr="00465349">
        <w:rPr>
          <w:rFonts w:ascii="Times New Roman" w:hAnsi="Times New Roman"/>
          <w:sz w:val="24"/>
        </w:rPr>
        <w:t xml:space="preserve"> o </w:t>
      </w:r>
      <w:r w:rsidRPr="00465349">
        <w:rPr>
          <w:rFonts w:ascii="Times New Roman" w:hAnsi="Times New Roman"/>
          <w:sz w:val="24"/>
        </w:rPr>
        <w:t>pracovních poměrech na dobu určitou uzavřené mezi organizacemi UNICE, CEEP</w:t>
      </w:r>
      <w:r w:rsidR="0051719E" w:rsidRPr="00465349">
        <w:rPr>
          <w:rFonts w:ascii="Times New Roman" w:hAnsi="Times New Roman"/>
          <w:sz w:val="24"/>
        </w:rPr>
        <w:t xml:space="preserve"> a </w:t>
      </w:r>
      <w:r w:rsidRPr="00465349">
        <w:rPr>
          <w:rFonts w:ascii="Times New Roman" w:hAnsi="Times New Roman"/>
          <w:sz w:val="24"/>
        </w:rPr>
        <w:t>EKOS.</w:t>
      </w:r>
    </w:p>
    <w:bookmarkEnd w:id="3"/>
    <w:p w14:paraId="453A9326" w14:textId="77777777" w:rsidR="00210F88" w:rsidRPr="00465349" w:rsidRDefault="00210F88" w:rsidP="00465349">
      <w:pPr>
        <w:pStyle w:val="Odstavecseseznamem"/>
        <w:numPr>
          <w:ilvl w:val="0"/>
          <w:numId w:val="6"/>
        </w:numPr>
        <w:jc w:val="both"/>
        <w:rPr>
          <w:rFonts w:ascii="Times New Roman" w:hAnsi="Times New Roman" w:cs="Times New Roman"/>
          <w:sz w:val="24"/>
          <w:szCs w:val="24"/>
        </w:rPr>
      </w:pPr>
      <w:r w:rsidRPr="00465349">
        <w:rPr>
          <w:rFonts w:ascii="Times New Roman" w:hAnsi="Times New Roman"/>
          <w:sz w:val="24"/>
        </w:rPr>
        <w:t>Směrnice 2000/78/ES ze dne 27. listopadu 2000, kterou se stanoví obecný rámec pro rovné zacházení</w:t>
      </w:r>
      <w:r w:rsidR="0051719E" w:rsidRPr="00465349">
        <w:rPr>
          <w:rFonts w:ascii="Times New Roman" w:hAnsi="Times New Roman"/>
          <w:sz w:val="24"/>
        </w:rPr>
        <w:t xml:space="preserve"> v </w:t>
      </w:r>
      <w:r w:rsidRPr="00465349">
        <w:rPr>
          <w:rFonts w:ascii="Times New Roman" w:hAnsi="Times New Roman"/>
          <w:sz w:val="24"/>
        </w:rPr>
        <w:t>zaměstnání</w:t>
      </w:r>
      <w:r w:rsidR="0051719E" w:rsidRPr="00465349">
        <w:rPr>
          <w:rFonts w:ascii="Times New Roman" w:hAnsi="Times New Roman"/>
          <w:sz w:val="24"/>
        </w:rPr>
        <w:t xml:space="preserve"> a </w:t>
      </w:r>
      <w:r w:rsidRPr="00465349">
        <w:rPr>
          <w:rFonts w:ascii="Times New Roman" w:hAnsi="Times New Roman"/>
          <w:sz w:val="24"/>
        </w:rPr>
        <w:t>povolání.</w:t>
      </w:r>
    </w:p>
    <w:p w14:paraId="732C00E1" w14:textId="77777777" w:rsidR="00742EBA" w:rsidRPr="00BC2D8C" w:rsidRDefault="00742EBA" w:rsidP="00210F88">
      <w:pPr>
        <w:rPr>
          <w:rFonts w:ascii="Times New Roman" w:hAnsi="Times New Roman" w:cs="Times New Roman"/>
          <w:b/>
          <w:bCs/>
          <w:sz w:val="24"/>
          <w:szCs w:val="24"/>
        </w:rPr>
      </w:pPr>
    </w:p>
    <w:p w14:paraId="7A2A9D0A" w14:textId="09778BAC" w:rsidR="00210F88" w:rsidRPr="008536E0" w:rsidRDefault="008536E0" w:rsidP="008536E0">
      <w:pPr>
        <w:rPr>
          <w:rFonts w:ascii="Times New Roman" w:hAnsi="Times New Roman" w:cs="Times New Roman"/>
          <w:b/>
          <w:bCs/>
          <w:sz w:val="24"/>
          <w:szCs w:val="24"/>
        </w:rPr>
      </w:pPr>
      <w:r>
        <w:rPr>
          <w:rFonts w:ascii="Times New Roman" w:hAnsi="Times New Roman"/>
          <w:b/>
          <w:sz w:val="24"/>
        </w:rPr>
        <w:t>Materiály</w:t>
      </w:r>
    </w:p>
    <w:p w14:paraId="4FD778A6" w14:textId="4CD0909F" w:rsidR="00210F88" w:rsidRPr="00465349" w:rsidRDefault="00D35672" w:rsidP="00465349">
      <w:pPr>
        <w:pStyle w:val="Odstavecseseznamem"/>
        <w:numPr>
          <w:ilvl w:val="0"/>
          <w:numId w:val="7"/>
        </w:numPr>
        <w:rPr>
          <w:rFonts w:ascii="Times New Roman" w:hAnsi="Times New Roman" w:cs="Times New Roman"/>
          <w:sz w:val="24"/>
          <w:szCs w:val="24"/>
        </w:rPr>
      </w:pPr>
      <w:r w:rsidRPr="00465349">
        <w:rPr>
          <w:rFonts w:ascii="Times New Roman" w:hAnsi="Times New Roman"/>
          <w:sz w:val="24"/>
        </w:rPr>
        <w:t>Shrnutí</w:t>
      </w:r>
      <w:r w:rsidR="0051719E" w:rsidRPr="00465349">
        <w:rPr>
          <w:rFonts w:ascii="Times New Roman" w:hAnsi="Times New Roman"/>
          <w:sz w:val="24"/>
        </w:rPr>
        <w:t xml:space="preserve"> k </w:t>
      </w:r>
      <w:r w:rsidR="00210F88" w:rsidRPr="00465349">
        <w:rPr>
          <w:rFonts w:ascii="Times New Roman" w:hAnsi="Times New Roman"/>
          <w:sz w:val="24"/>
        </w:rPr>
        <w:t>článku 10 Listiny.</w:t>
      </w:r>
    </w:p>
    <w:p w14:paraId="183C676D" w14:textId="0605B92C" w:rsidR="00210F88" w:rsidRPr="00465349" w:rsidRDefault="00465349" w:rsidP="00465349">
      <w:pPr>
        <w:pStyle w:val="Odstavecseseznamem"/>
        <w:numPr>
          <w:ilvl w:val="0"/>
          <w:numId w:val="7"/>
        </w:numPr>
        <w:rPr>
          <w:rFonts w:ascii="Times New Roman" w:hAnsi="Times New Roman" w:cs="Times New Roman"/>
          <w:sz w:val="24"/>
          <w:szCs w:val="24"/>
        </w:rPr>
      </w:pPr>
      <w:r>
        <w:rPr>
          <w:rFonts w:ascii="Times New Roman" w:hAnsi="Times New Roman"/>
          <w:sz w:val="24"/>
        </w:rPr>
        <w:t xml:space="preserve">Příručka k Listině základních práv EU, </w:t>
      </w:r>
      <w:r w:rsidR="00210F88" w:rsidRPr="00465349">
        <w:rPr>
          <w:rFonts w:ascii="Times New Roman" w:hAnsi="Times New Roman"/>
          <w:sz w:val="24"/>
        </w:rPr>
        <w:t>Článek 51 týkající se</w:t>
      </w:r>
      <w:r w:rsidR="0051719E" w:rsidRPr="00465349">
        <w:rPr>
          <w:rFonts w:ascii="Times New Roman" w:hAnsi="Times New Roman"/>
          <w:sz w:val="24"/>
        </w:rPr>
        <w:t> </w:t>
      </w:r>
      <w:r w:rsidR="00210F88" w:rsidRPr="00465349">
        <w:rPr>
          <w:rFonts w:ascii="Times New Roman" w:hAnsi="Times New Roman"/>
          <w:sz w:val="24"/>
        </w:rPr>
        <w:t>použití Listiny.</w:t>
      </w:r>
    </w:p>
    <w:p w14:paraId="3E8ED5E0" w14:textId="77777777" w:rsidR="00210F88" w:rsidRPr="00742EBA" w:rsidRDefault="00210F88" w:rsidP="00742EBA">
      <w:pPr>
        <w:ind w:left="708"/>
        <w:jc w:val="both"/>
        <w:rPr>
          <w:rFonts w:ascii="Times New Roman" w:hAnsi="Times New Roman" w:cs="Times New Roman"/>
          <w:sz w:val="24"/>
          <w:szCs w:val="24"/>
        </w:rPr>
      </w:pPr>
      <w:r>
        <w:rPr>
          <w:rFonts w:ascii="Times New Roman" w:hAnsi="Times New Roman"/>
          <w:sz w:val="24"/>
        </w:rPr>
        <w:lastRenderedPageBreak/>
        <w:t xml:space="preserve">Členské státy jsou rovněž povinny dodržovat Listinu, ale pouze „při provádění unijního práva“. Listiny se lze dovolávat, pokud se na daný případ vztahuje jiné ustanovení primárního nebo sekundárního unijního práva než ustanovení samotné Listiny. </w:t>
      </w:r>
    </w:p>
    <w:p w14:paraId="08AFB7EA" w14:textId="77777777" w:rsidR="00210F88" w:rsidRDefault="00210F88" w:rsidP="00742EBA">
      <w:pPr>
        <w:spacing w:after="120" w:line="276" w:lineRule="auto"/>
        <w:ind w:left="708"/>
        <w:jc w:val="both"/>
        <w:rPr>
          <w:rFonts w:ascii="Times New Roman" w:hAnsi="Times New Roman"/>
          <w:sz w:val="24"/>
        </w:rPr>
      </w:pPr>
      <w:r>
        <w:rPr>
          <w:rFonts w:ascii="Times New Roman" w:hAnsi="Times New Roman"/>
          <w:sz w:val="24"/>
        </w:rPr>
        <w:t>Základní práva zaručená</w:t>
      </w:r>
      <w:r w:rsidR="0051719E">
        <w:rPr>
          <w:rFonts w:ascii="Times New Roman" w:hAnsi="Times New Roman"/>
          <w:sz w:val="24"/>
        </w:rPr>
        <w:t xml:space="preserve"> v </w:t>
      </w:r>
      <w:r>
        <w:rPr>
          <w:rFonts w:ascii="Times New Roman" w:hAnsi="Times New Roman"/>
          <w:sz w:val="24"/>
        </w:rPr>
        <w:t>právním řádu Evropské unie jsou použitelná ve všech situacích upravených unijním právem. Pokud ustanovení unijního práva</w:t>
      </w:r>
      <w:r w:rsidR="0051719E">
        <w:rPr>
          <w:rFonts w:ascii="Times New Roman" w:hAnsi="Times New Roman"/>
          <w:sz w:val="24"/>
        </w:rPr>
        <w:t xml:space="preserve"> v </w:t>
      </w:r>
      <w:r>
        <w:rPr>
          <w:rFonts w:ascii="Times New Roman" w:hAnsi="Times New Roman"/>
          <w:sz w:val="24"/>
        </w:rPr>
        <w:t>dotčené oblasti neupravují určitý aspekt dané situace</w:t>
      </w:r>
      <w:r w:rsidR="0051719E">
        <w:rPr>
          <w:rFonts w:ascii="Times New Roman" w:hAnsi="Times New Roman"/>
          <w:sz w:val="24"/>
        </w:rPr>
        <w:t xml:space="preserve"> a </w:t>
      </w:r>
      <w:r>
        <w:rPr>
          <w:rFonts w:ascii="Times New Roman" w:hAnsi="Times New Roman"/>
          <w:sz w:val="24"/>
        </w:rPr>
        <w:t>neukládají členským státům</w:t>
      </w:r>
      <w:r w:rsidR="0051719E">
        <w:rPr>
          <w:rFonts w:ascii="Times New Roman" w:hAnsi="Times New Roman"/>
          <w:sz w:val="24"/>
        </w:rPr>
        <w:t xml:space="preserve"> s </w:t>
      </w:r>
      <w:r>
        <w:rPr>
          <w:rFonts w:ascii="Times New Roman" w:hAnsi="Times New Roman"/>
          <w:sz w:val="24"/>
        </w:rPr>
        <w:t>ohledem na tento aspekt žádnou konkrétní povinnost, vnitrostátní ustanovení přijaté členským státem</w:t>
      </w:r>
      <w:r w:rsidR="0051719E">
        <w:rPr>
          <w:rFonts w:ascii="Times New Roman" w:hAnsi="Times New Roman"/>
          <w:sz w:val="24"/>
        </w:rPr>
        <w:t xml:space="preserve"> k </w:t>
      </w:r>
      <w:r>
        <w:rPr>
          <w:rFonts w:ascii="Times New Roman" w:hAnsi="Times New Roman"/>
          <w:sz w:val="24"/>
        </w:rPr>
        <w:t>tomuto aspektu nespadá do oblasti působnosti Listiny</w:t>
      </w:r>
      <w:r w:rsidR="0051719E">
        <w:rPr>
          <w:rFonts w:ascii="Times New Roman" w:hAnsi="Times New Roman"/>
          <w:sz w:val="24"/>
        </w:rPr>
        <w:t xml:space="preserve"> a </w:t>
      </w:r>
      <w:r>
        <w:rPr>
          <w:rFonts w:ascii="Times New Roman" w:hAnsi="Times New Roman"/>
          <w:sz w:val="24"/>
        </w:rPr>
        <w:t>danou situaci nelze posuzovat</w:t>
      </w:r>
      <w:r w:rsidR="0051719E">
        <w:rPr>
          <w:rFonts w:ascii="Times New Roman" w:hAnsi="Times New Roman"/>
          <w:sz w:val="24"/>
        </w:rPr>
        <w:t xml:space="preserve"> z </w:t>
      </w:r>
      <w:r>
        <w:rPr>
          <w:rFonts w:ascii="Times New Roman" w:hAnsi="Times New Roman"/>
          <w:sz w:val="24"/>
        </w:rPr>
        <w:t>hlediska ustanovení Listiny.</w:t>
      </w:r>
    </w:p>
    <w:p w14:paraId="408D3999" w14:textId="77777777" w:rsidR="007A2107" w:rsidRDefault="007A2107" w:rsidP="00742EBA">
      <w:pPr>
        <w:spacing w:after="120" w:line="276" w:lineRule="auto"/>
        <w:ind w:left="708"/>
        <w:jc w:val="both"/>
        <w:rPr>
          <w:rFonts w:ascii="Times New Roman" w:hAnsi="Times New Roman"/>
          <w:sz w:val="24"/>
        </w:rPr>
      </w:pPr>
    </w:p>
    <w:p w14:paraId="2E273C03" w14:textId="6D35A930" w:rsidR="005E53AA" w:rsidRPr="007A2107" w:rsidRDefault="007A2107" w:rsidP="005E53AA">
      <w:pPr>
        <w:spacing w:after="120" w:line="276" w:lineRule="auto"/>
        <w:jc w:val="both"/>
        <w:rPr>
          <w:rFonts w:ascii="Times New Roman" w:hAnsi="Times New Roman" w:cs="Times New Roman"/>
          <w:b/>
          <w:bCs/>
          <w:sz w:val="24"/>
          <w:szCs w:val="24"/>
        </w:rPr>
      </w:pPr>
      <w:r w:rsidRPr="007A2107">
        <w:rPr>
          <w:rFonts w:ascii="Times New Roman" w:hAnsi="Times New Roman"/>
          <w:b/>
          <w:bCs/>
          <w:sz w:val="24"/>
        </w:rPr>
        <w:t>Klíčová judikatura</w:t>
      </w:r>
    </w:p>
    <w:p w14:paraId="582F2EB3" w14:textId="43E05831" w:rsidR="00210F88" w:rsidRPr="00A23D96" w:rsidRDefault="00210F88" w:rsidP="00742EBA">
      <w:pPr>
        <w:jc w:val="both"/>
        <w:rPr>
          <w:rFonts w:ascii="Times New Roman" w:hAnsi="Times New Roman"/>
          <w:color w:val="215E99" w:themeColor="text2" w:themeTint="BF"/>
          <w:sz w:val="24"/>
        </w:rPr>
      </w:pPr>
      <w:hyperlink r:id="rId14" w:history="1">
        <w:r w:rsidRPr="007B6432">
          <w:rPr>
            <w:rStyle w:val="Hypertextovodkaz"/>
            <w:rFonts w:ascii="Times New Roman" w:hAnsi="Times New Roman"/>
            <w:b/>
            <w:bCs/>
            <w:sz w:val="24"/>
          </w:rPr>
          <w:t xml:space="preserve">Rozsudek Soudního dvora (Velkého senátu) ze dne 15. ledna 2014, </w:t>
        </w:r>
        <w:r w:rsidRPr="007B6432">
          <w:rPr>
            <w:rStyle w:val="Hypertextovodkaz"/>
            <w:rFonts w:ascii="Times New Roman" w:hAnsi="Times New Roman"/>
            <w:b/>
            <w:bCs/>
            <w:i/>
            <w:iCs/>
            <w:sz w:val="24"/>
          </w:rPr>
          <w:t>Association de mediation sociale v. Union locale des syndicats CGT</w:t>
        </w:r>
        <w:r w:rsidR="0051719E" w:rsidRPr="007B6432">
          <w:rPr>
            <w:rStyle w:val="Hypertextovodkaz"/>
            <w:rFonts w:ascii="Times New Roman" w:hAnsi="Times New Roman"/>
            <w:b/>
            <w:bCs/>
            <w:i/>
            <w:iCs/>
            <w:sz w:val="24"/>
          </w:rPr>
          <w:t xml:space="preserve"> a </w:t>
        </w:r>
        <w:r w:rsidRPr="007B6432">
          <w:rPr>
            <w:rStyle w:val="Hypertextovodkaz"/>
            <w:rFonts w:ascii="Times New Roman" w:hAnsi="Times New Roman"/>
            <w:b/>
            <w:bCs/>
            <w:i/>
            <w:iCs/>
            <w:sz w:val="24"/>
          </w:rPr>
          <w:t>ostatní</w:t>
        </w:r>
        <w:r w:rsidRPr="007B6432">
          <w:rPr>
            <w:rStyle w:val="Hypertextovodkaz"/>
            <w:rFonts w:ascii="Times New Roman" w:hAnsi="Times New Roman"/>
            <w:b/>
            <w:bCs/>
            <w:sz w:val="24"/>
          </w:rPr>
          <w:t>, C-176/12, ECLI:EU: C:2014:2.</w:t>
        </w:r>
      </w:hyperlink>
      <w:r w:rsidR="00A23D96">
        <w:rPr>
          <w:rFonts w:ascii="Times New Roman" w:hAnsi="Times New Roman"/>
          <w:color w:val="215E99" w:themeColor="text2" w:themeTint="BF"/>
          <w:sz w:val="24"/>
        </w:rPr>
        <w:t xml:space="preserve"> : </w:t>
      </w:r>
      <w:r w:rsidR="00A23D96" w:rsidRPr="00A23D96">
        <w:rPr>
          <w:rFonts w:ascii="Times New Roman" w:hAnsi="Times New Roman"/>
          <w:sz w:val="24"/>
        </w:rPr>
        <w:t>po</w:t>
      </w:r>
      <w:r w:rsidR="00A23D96">
        <w:rPr>
          <w:rFonts w:ascii="Times New Roman" w:hAnsi="Times New Roman"/>
          <w:sz w:val="24"/>
        </w:rPr>
        <w:t>u</w:t>
      </w:r>
      <w:r w:rsidR="00A23D96" w:rsidRPr="00A23D96">
        <w:rPr>
          <w:rFonts w:ascii="Times New Roman" w:hAnsi="Times New Roman"/>
          <w:sz w:val="24"/>
        </w:rPr>
        <w:t>žitelnost práva EU v pracovněprávních sporech</w:t>
      </w:r>
    </w:p>
    <w:p w14:paraId="58631C43" w14:textId="77777777" w:rsidR="00125D0A" w:rsidRPr="00125D0A" w:rsidRDefault="00125D0A" w:rsidP="00742EBA">
      <w:pPr>
        <w:jc w:val="both"/>
        <w:rPr>
          <w:rFonts w:ascii="Times New Roman" w:hAnsi="Times New Roman" w:cs="Times New Roman"/>
          <w:b/>
          <w:bCs/>
          <w:color w:val="215E99" w:themeColor="text2" w:themeTint="BF"/>
          <w:sz w:val="24"/>
          <w:szCs w:val="24"/>
          <w:u w:val="single"/>
        </w:rPr>
      </w:pPr>
    </w:p>
    <w:p w14:paraId="251F66B1" w14:textId="06DCF438" w:rsidR="00742EBA" w:rsidRPr="00125D0A" w:rsidRDefault="00210F88" w:rsidP="00742EBA">
      <w:pPr>
        <w:jc w:val="both"/>
        <w:rPr>
          <w:rFonts w:ascii="Times New Roman" w:hAnsi="Times New Roman" w:cs="Times New Roman"/>
          <w:b/>
          <w:bCs/>
          <w:color w:val="215E99" w:themeColor="text2" w:themeTint="BF"/>
          <w:sz w:val="24"/>
          <w:szCs w:val="24"/>
          <w:u w:val="single"/>
        </w:rPr>
      </w:pPr>
      <w:hyperlink r:id="rId15" w:history="1">
        <w:r w:rsidRPr="007B6432">
          <w:rPr>
            <w:rStyle w:val="Hypertextovodkaz"/>
            <w:rFonts w:ascii="Times New Roman" w:hAnsi="Times New Roman"/>
            <w:b/>
            <w:bCs/>
            <w:sz w:val="24"/>
          </w:rPr>
          <w:t xml:space="preserve">Rozsudek Soudního dvora (Velkého senátu) ze dne 5. února 2015, </w:t>
        </w:r>
        <w:r w:rsidRPr="007B6432">
          <w:rPr>
            <w:rStyle w:val="Hypertextovodkaz"/>
            <w:rFonts w:ascii="Times New Roman" w:hAnsi="Times New Roman"/>
            <w:b/>
            <w:bCs/>
            <w:i/>
            <w:sz w:val="24"/>
          </w:rPr>
          <w:t>Grima Janet Nisttahuz Pclava</w:t>
        </w:r>
        <w:r w:rsidR="0051719E" w:rsidRPr="007B6432">
          <w:rPr>
            <w:rStyle w:val="Hypertextovodkaz"/>
            <w:rFonts w:ascii="Times New Roman" w:hAnsi="Times New Roman"/>
            <w:b/>
            <w:bCs/>
            <w:i/>
            <w:sz w:val="24"/>
          </w:rPr>
          <w:t xml:space="preserve"> v </w:t>
        </w:r>
        <w:r w:rsidRPr="007B6432">
          <w:rPr>
            <w:rStyle w:val="Hypertextovodkaz"/>
            <w:rFonts w:ascii="Times New Roman" w:hAnsi="Times New Roman"/>
            <w:b/>
            <w:bCs/>
            <w:i/>
            <w:sz w:val="24"/>
          </w:rPr>
          <w:t>Jose Maria Ariza Toledano</w:t>
        </w:r>
        <w:r w:rsidRPr="007B6432">
          <w:rPr>
            <w:rStyle w:val="Hypertextovodkaz"/>
            <w:rFonts w:ascii="Times New Roman" w:hAnsi="Times New Roman"/>
            <w:b/>
            <w:bCs/>
            <w:sz w:val="24"/>
          </w:rPr>
          <w:t>, C-117/14, ECLI:EU:C:2015:60.</w:t>
        </w:r>
      </w:hyperlink>
      <w:r w:rsidRPr="00125D0A">
        <w:rPr>
          <w:rFonts w:ascii="Times New Roman" w:hAnsi="Times New Roman"/>
          <w:b/>
          <w:bCs/>
          <w:color w:val="215E99" w:themeColor="text2" w:themeTint="BF"/>
          <w:sz w:val="24"/>
          <w:u w:val="single"/>
        </w:rPr>
        <w:t xml:space="preserve"> </w:t>
      </w:r>
    </w:p>
    <w:p w14:paraId="40B349BA" w14:textId="3F84DA7F" w:rsidR="00210F88" w:rsidRPr="00742EBA" w:rsidRDefault="008C5B73" w:rsidP="00742EBA">
      <w:pPr>
        <w:ind w:left="708"/>
        <w:jc w:val="both"/>
        <w:rPr>
          <w:rFonts w:ascii="Times New Roman" w:hAnsi="Times New Roman" w:cs="Times New Roman"/>
          <w:sz w:val="24"/>
          <w:szCs w:val="24"/>
        </w:rPr>
      </w:pPr>
      <w:r w:rsidRPr="008C5B73">
        <w:rPr>
          <w:rFonts w:ascii="Times New Roman" w:hAnsi="Times New Roman"/>
          <w:sz w:val="24"/>
        </w:rPr>
        <w:t xml:space="preserve">Tento případ upřesnil výklad a použití článku 30 </w:t>
      </w:r>
      <w:r>
        <w:rPr>
          <w:rFonts w:ascii="Times New Roman" w:hAnsi="Times New Roman"/>
          <w:sz w:val="24"/>
        </w:rPr>
        <w:t>Listiny</w:t>
      </w:r>
      <w:r w:rsidRPr="008C5B73">
        <w:rPr>
          <w:rFonts w:ascii="Times New Roman" w:hAnsi="Times New Roman"/>
          <w:sz w:val="24"/>
        </w:rPr>
        <w:t>, jenž zaručuje ochranu zaměstnanců před ne</w:t>
      </w:r>
      <w:r>
        <w:rPr>
          <w:rFonts w:ascii="Times New Roman" w:hAnsi="Times New Roman"/>
          <w:sz w:val="24"/>
        </w:rPr>
        <w:t>oprávněným</w:t>
      </w:r>
      <w:r w:rsidRPr="008C5B73">
        <w:rPr>
          <w:rFonts w:ascii="Times New Roman" w:hAnsi="Times New Roman"/>
          <w:sz w:val="24"/>
        </w:rPr>
        <w:t xml:space="preserve"> propuštěním.</w:t>
      </w:r>
      <w:r>
        <w:rPr>
          <w:rFonts w:ascii="Times New Roman" w:hAnsi="Times New Roman"/>
          <w:sz w:val="24"/>
        </w:rPr>
        <w:t xml:space="preserve"> </w:t>
      </w:r>
      <w:r w:rsidR="00210F88">
        <w:rPr>
          <w:rFonts w:ascii="Times New Roman" w:hAnsi="Times New Roman"/>
          <w:sz w:val="24"/>
        </w:rPr>
        <w:t>Evropská unie má pravomoc vyplývající ze Smluv upravit pravidla týkající se propouštění, ale dosud ji nevyužila. Proto nelze rozhodnutí</w:t>
      </w:r>
      <w:r w:rsidR="0051719E">
        <w:rPr>
          <w:rFonts w:ascii="Times New Roman" w:hAnsi="Times New Roman"/>
          <w:sz w:val="24"/>
        </w:rPr>
        <w:t xml:space="preserve"> o </w:t>
      </w:r>
      <w:r w:rsidR="00210F88">
        <w:rPr>
          <w:rFonts w:ascii="Times New Roman" w:hAnsi="Times New Roman"/>
          <w:sz w:val="24"/>
        </w:rPr>
        <w:t>propuštění zaměstnance napadnout podle článku 30 Listiny, pokud neexistuje žádná jiná souvislost</w:t>
      </w:r>
      <w:r w:rsidR="0051719E">
        <w:rPr>
          <w:rFonts w:ascii="Times New Roman" w:hAnsi="Times New Roman"/>
          <w:sz w:val="24"/>
        </w:rPr>
        <w:t xml:space="preserve"> s </w:t>
      </w:r>
      <w:r w:rsidR="00210F88">
        <w:rPr>
          <w:rFonts w:ascii="Times New Roman" w:hAnsi="Times New Roman"/>
          <w:sz w:val="24"/>
        </w:rPr>
        <w:t>unijním právem.</w:t>
      </w:r>
    </w:p>
    <w:p w14:paraId="39202B9A" w14:textId="77777777" w:rsidR="00210F88" w:rsidRPr="00742EBA" w:rsidRDefault="00210F88" w:rsidP="00742EBA">
      <w:pPr>
        <w:ind w:left="708"/>
        <w:jc w:val="both"/>
        <w:rPr>
          <w:rFonts w:ascii="Times New Roman" w:hAnsi="Times New Roman" w:cs="Times New Roman"/>
          <w:sz w:val="24"/>
          <w:szCs w:val="24"/>
        </w:rPr>
      </w:pPr>
      <w:r>
        <w:rPr>
          <w:rFonts w:ascii="Times New Roman" w:hAnsi="Times New Roman"/>
          <w:sz w:val="24"/>
        </w:rPr>
        <w:t>Je třeba připomenout, že působnost Listiny, pokud jde</w:t>
      </w:r>
      <w:r w:rsidR="0051719E">
        <w:rPr>
          <w:rFonts w:ascii="Times New Roman" w:hAnsi="Times New Roman"/>
          <w:sz w:val="24"/>
        </w:rPr>
        <w:t xml:space="preserve"> o </w:t>
      </w:r>
      <w:r>
        <w:rPr>
          <w:rFonts w:ascii="Times New Roman" w:hAnsi="Times New Roman"/>
          <w:sz w:val="24"/>
        </w:rPr>
        <w:t>jednání členských států, je definována</w:t>
      </w:r>
      <w:r w:rsidR="0051719E">
        <w:rPr>
          <w:rFonts w:ascii="Times New Roman" w:hAnsi="Times New Roman"/>
          <w:sz w:val="24"/>
        </w:rPr>
        <w:t xml:space="preserve"> v </w:t>
      </w:r>
      <w:r>
        <w:rPr>
          <w:rFonts w:ascii="Times New Roman" w:hAnsi="Times New Roman"/>
          <w:sz w:val="24"/>
        </w:rPr>
        <w:t xml:space="preserve">jejím </w:t>
      </w:r>
      <w:r w:rsidR="0051719E">
        <w:rPr>
          <w:rFonts w:ascii="Times New Roman" w:hAnsi="Times New Roman"/>
          <w:sz w:val="24"/>
        </w:rPr>
        <w:t>čl. </w:t>
      </w:r>
      <w:r>
        <w:rPr>
          <w:rFonts w:ascii="Times New Roman" w:hAnsi="Times New Roman"/>
          <w:sz w:val="24"/>
        </w:rPr>
        <w:t>51 odst. 1, podle něhož jsou ustanovení Listiny určena členským státům, výhradně pokud uplatňují unijní právo.</w:t>
      </w:r>
    </w:p>
    <w:p w14:paraId="22359448" w14:textId="77777777" w:rsidR="00210F88" w:rsidRPr="00742EBA" w:rsidRDefault="00210F88" w:rsidP="00742EBA">
      <w:pPr>
        <w:ind w:left="708"/>
        <w:jc w:val="both"/>
        <w:rPr>
          <w:rFonts w:ascii="Times New Roman" w:hAnsi="Times New Roman" w:cs="Times New Roman"/>
          <w:sz w:val="24"/>
          <w:szCs w:val="24"/>
        </w:rPr>
      </w:pPr>
      <w:r>
        <w:rPr>
          <w:rFonts w:ascii="Times New Roman" w:hAnsi="Times New Roman"/>
          <w:sz w:val="24"/>
        </w:rPr>
        <w:t>Z ustálené judikatury Soudního dvora totiž vyplývá, že základní práva zaručená</w:t>
      </w:r>
      <w:r w:rsidR="0051719E">
        <w:rPr>
          <w:rFonts w:ascii="Times New Roman" w:hAnsi="Times New Roman"/>
          <w:sz w:val="24"/>
        </w:rPr>
        <w:t xml:space="preserve"> v </w:t>
      </w:r>
      <w:r>
        <w:rPr>
          <w:rFonts w:ascii="Times New Roman" w:hAnsi="Times New Roman"/>
          <w:sz w:val="24"/>
        </w:rPr>
        <w:t>právním řádu Unie se uplatní ve všech situacích, které se řídí unijním právem, avšak nikoli mimo tyto situace (rozsudek Åkerberg Fransson, C</w:t>
      </w:r>
      <w:r>
        <w:rPr>
          <w:rFonts w:ascii="Times New Roman" w:hAnsi="Times New Roman"/>
          <w:sz w:val="24"/>
        </w:rPr>
        <w:noBreakHyphen/>
        <w:t>617/10, EU:C:2013:105, bod 19</w:t>
      </w:r>
      <w:r w:rsidR="0051719E">
        <w:rPr>
          <w:rFonts w:ascii="Times New Roman" w:hAnsi="Times New Roman"/>
          <w:sz w:val="24"/>
        </w:rPr>
        <w:t xml:space="preserve"> a </w:t>
      </w:r>
      <w:r>
        <w:rPr>
          <w:rFonts w:ascii="Times New Roman" w:hAnsi="Times New Roman"/>
          <w:sz w:val="24"/>
        </w:rPr>
        <w:t>citovaná judikatura).</w:t>
      </w:r>
    </w:p>
    <w:p w14:paraId="7C863FC1" w14:textId="77777777" w:rsidR="00210F88" w:rsidRDefault="00210F88" w:rsidP="00742EBA">
      <w:pPr>
        <w:ind w:left="708"/>
        <w:jc w:val="both"/>
        <w:rPr>
          <w:rFonts w:ascii="Times New Roman" w:hAnsi="Times New Roman"/>
          <w:sz w:val="24"/>
        </w:rPr>
      </w:pPr>
      <w:r>
        <w:rPr>
          <w:rFonts w:ascii="Times New Roman" w:hAnsi="Times New Roman"/>
          <w:sz w:val="24"/>
        </w:rPr>
        <w:t>Soukromoprávní subjekty mohou využít ochrany poskytované Listinou, dokonce</w:t>
      </w:r>
      <w:r w:rsidR="0051719E">
        <w:rPr>
          <w:rFonts w:ascii="Times New Roman" w:hAnsi="Times New Roman"/>
          <w:sz w:val="24"/>
        </w:rPr>
        <w:t xml:space="preserve"> v </w:t>
      </w:r>
      <w:r>
        <w:rPr>
          <w:rFonts w:ascii="Times New Roman" w:hAnsi="Times New Roman"/>
          <w:sz w:val="24"/>
        </w:rPr>
        <w:t>určitých případech jim Listina vytváří právní povinnosti. Podle SDEU se lze ustanovení Listiny, které samo</w:t>
      </w:r>
      <w:r w:rsidR="0051719E">
        <w:rPr>
          <w:rFonts w:ascii="Times New Roman" w:hAnsi="Times New Roman"/>
          <w:sz w:val="24"/>
        </w:rPr>
        <w:t xml:space="preserve"> o </w:t>
      </w:r>
      <w:r>
        <w:rPr>
          <w:rFonts w:ascii="Times New Roman" w:hAnsi="Times New Roman"/>
          <w:sz w:val="24"/>
        </w:rPr>
        <w:t>sobě postačuje</w:t>
      </w:r>
      <w:r w:rsidR="0051719E">
        <w:rPr>
          <w:rFonts w:ascii="Times New Roman" w:hAnsi="Times New Roman"/>
          <w:sz w:val="24"/>
        </w:rPr>
        <w:t xml:space="preserve"> k </w:t>
      </w:r>
      <w:r>
        <w:rPr>
          <w:rFonts w:ascii="Times New Roman" w:hAnsi="Times New Roman"/>
          <w:sz w:val="24"/>
        </w:rPr>
        <w:t>tomu, aby přiznalo právo jednotlivcům, dovolávat</w:t>
      </w:r>
      <w:r w:rsidR="0051719E">
        <w:rPr>
          <w:rFonts w:ascii="Times New Roman" w:hAnsi="Times New Roman"/>
          <w:sz w:val="24"/>
        </w:rPr>
        <w:t xml:space="preserve"> s </w:t>
      </w:r>
      <w:r>
        <w:rPr>
          <w:rFonts w:ascii="Times New Roman" w:hAnsi="Times New Roman"/>
          <w:sz w:val="24"/>
        </w:rPr>
        <w:t>cílem požadovat nepoužití rozporných vnitrostátních ustanovení</w:t>
      </w:r>
      <w:r w:rsidR="0051719E">
        <w:rPr>
          <w:rFonts w:ascii="Times New Roman" w:hAnsi="Times New Roman"/>
          <w:sz w:val="24"/>
        </w:rPr>
        <w:t xml:space="preserve"> i </w:t>
      </w:r>
      <w:r>
        <w:rPr>
          <w:rFonts w:ascii="Times New Roman" w:hAnsi="Times New Roman"/>
          <w:sz w:val="24"/>
        </w:rPr>
        <w:t>v řízeních mezi jednotlivci.</w:t>
      </w:r>
    </w:p>
    <w:p w14:paraId="223BE49F" w14:textId="77777777" w:rsidR="009A7854" w:rsidRPr="00742EBA" w:rsidRDefault="009A7854" w:rsidP="00742EBA">
      <w:pPr>
        <w:ind w:left="708"/>
        <w:jc w:val="both"/>
        <w:rPr>
          <w:rFonts w:ascii="Times New Roman" w:hAnsi="Times New Roman" w:cs="Times New Roman"/>
          <w:sz w:val="24"/>
          <w:szCs w:val="24"/>
        </w:rPr>
      </w:pPr>
    </w:p>
    <w:p w14:paraId="4548D8C2" w14:textId="551C7A06" w:rsidR="00210F88" w:rsidRPr="009A7854" w:rsidRDefault="009A7854" w:rsidP="00742EBA">
      <w:pPr>
        <w:jc w:val="both"/>
        <w:rPr>
          <w:rStyle w:val="Hypertextovodkaz"/>
          <w:rFonts w:ascii="Times New Roman" w:hAnsi="Times New Roman"/>
          <w:b/>
          <w:bCs/>
          <w:sz w:val="24"/>
        </w:rPr>
      </w:pPr>
      <w:r>
        <w:rPr>
          <w:rStyle w:val="Hypertextovodkaz"/>
          <w:rFonts w:ascii="Times New Roman" w:hAnsi="Times New Roman"/>
          <w:b/>
          <w:bCs/>
          <w:sz w:val="24"/>
        </w:rPr>
        <w:fldChar w:fldCharType="begin"/>
      </w:r>
      <w:r>
        <w:rPr>
          <w:rStyle w:val="Hypertextovodkaz"/>
          <w:rFonts w:ascii="Times New Roman" w:hAnsi="Times New Roman"/>
          <w:b/>
          <w:bCs/>
          <w:sz w:val="24"/>
        </w:rPr>
        <w:instrText>HYPERLINK "https://eur-lex.europa.eu/legal-content/CS/TXT/?uri=CELEX:62007CJ0555"</w:instrText>
      </w:r>
      <w:r>
        <w:rPr>
          <w:rStyle w:val="Hypertextovodkaz"/>
          <w:rFonts w:ascii="Times New Roman" w:hAnsi="Times New Roman"/>
          <w:b/>
          <w:bCs/>
          <w:sz w:val="24"/>
        </w:rPr>
      </w:r>
      <w:r>
        <w:rPr>
          <w:rStyle w:val="Hypertextovodkaz"/>
          <w:rFonts w:ascii="Times New Roman" w:hAnsi="Times New Roman"/>
          <w:b/>
          <w:bCs/>
          <w:sz w:val="24"/>
        </w:rPr>
        <w:fldChar w:fldCharType="separate"/>
      </w:r>
      <w:r w:rsidR="00210F88" w:rsidRPr="009A7854">
        <w:rPr>
          <w:rStyle w:val="Hypertextovodkaz"/>
          <w:rFonts w:ascii="Times New Roman" w:hAnsi="Times New Roman"/>
          <w:b/>
          <w:bCs/>
          <w:sz w:val="24"/>
        </w:rPr>
        <w:t xml:space="preserve">Rozsudek Soudního dvora (Velkého senátu) ze dne 19. ledna 2010, </w:t>
      </w:r>
      <w:r w:rsidR="00210F88" w:rsidRPr="009A7854">
        <w:rPr>
          <w:rStyle w:val="Hypertextovodkaz"/>
          <w:rFonts w:ascii="Times New Roman" w:hAnsi="Times New Roman"/>
          <w:b/>
          <w:bCs/>
          <w:i/>
          <w:iCs/>
          <w:sz w:val="24"/>
        </w:rPr>
        <w:t>Seda Kucukdeveci v. Swedex Gmbh &amp; Co. KG</w:t>
      </w:r>
      <w:r w:rsidR="00210F88" w:rsidRPr="009A7854">
        <w:rPr>
          <w:rStyle w:val="Hypertextovodkaz"/>
          <w:rFonts w:ascii="Times New Roman" w:hAnsi="Times New Roman"/>
          <w:b/>
          <w:bCs/>
          <w:sz w:val="24"/>
        </w:rPr>
        <w:t>, C-555/07, ECLI: EU: C:2010:21.</w:t>
      </w:r>
    </w:p>
    <w:p w14:paraId="16B057E1" w14:textId="24CBE59F" w:rsidR="00210F88" w:rsidRDefault="009A7854" w:rsidP="00742EBA">
      <w:pPr>
        <w:ind w:left="708"/>
        <w:jc w:val="both"/>
        <w:rPr>
          <w:rFonts w:ascii="Times New Roman" w:hAnsi="Times New Roman"/>
          <w:sz w:val="24"/>
        </w:rPr>
      </w:pPr>
      <w:r>
        <w:rPr>
          <w:rStyle w:val="Hypertextovodkaz"/>
          <w:rFonts w:ascii="Times New Roman" w:hAnsi="Times New Roman"/>
          <w:b/>
          <w:bCs/>
          <w:sz w:val="24"/>
        </w:rPr>
        <w:fldChar w:fldCharType="end"/>
      </w:r>
      <w:r w:rsidR="0081524A" w:rsidRPr="0081524A">
        <w:rPr>
          <w:rFonts w:ascii="Times New Roman" w:hAnsi="Times New Roman"/>
          <w:sz w:val="24"/>
        </w:rPr>
        <w:t>Tento případ objasnil rozsah a uplatnění s</w:t>
      </w:r>
      <w:r w:rsidR="00210F88">
        <w:rPr>
          <w:rFonts w:ascii="Times New Roman" w:hAnsi="Times New Roman"/>
          <w:sz w:val="24"/>
        </w:rPr>
        <w:t>měrnice 2000/78</w:t>
      </w:r>
      <w:r w:rsidR="00A35436">
        <w:rPr>
          <w:rFonts w:ascii="Times New Roman" w:hAnsi="Times New Roman"/>
          <w:sz w:val="24"/>
        </w:rPr>
        <w:t xml:space="preserve">. Soud konstatoval, že tato směrnice </w:t>
      </w:r>
      <w:r w:rsidR="00210F88">
        <w:rPr>
          <w:rFonts w:ascii="Times New Roman" w:hAnsi="Times New Roman"/>
          <w:sz w:val="24"/>
        </w:rPr>
        <w:t>pouze konkretizuje zásadu rovného zacházení</w:t>
      </w:r>
      <w:r w:rsidR="0051719E">
        <w:rPr>
          <w:rFonts w:ascii="Times New Roman" w:hAnsi="Times New Roman"/>
          <w:sz w:val="24"/>
        </w:rPr>
        <w:t xml:space="preserve"> v </w:t>
      </w:r>
      <w:r w:rsidR="00210F88">
        <w:rPr>
          <w:rFonts w:ascii="Times New Roman" w:hAnsi="Times New Roman"/>
          <w:sz w:val="24"/>
        </w:rPr>
        <w:t>oblasti zaměstnání</w:t>
      </w:r>
      <w:r w:rsidR="0051719E">
        <w:rPr>
          <w:rFonts w:ascii="Times New Roman" w:hAnsi="Times New Roman"/>
          <w:sz w:val="24"/>
        </w:rPr>
        <w:t xml:space="preserve"> </w:t>
      </w:r>
      <w:r w:rsidR="0051719E">
        <w:rPr>
          <w:rFonts w:ascii="Times New Roman" w:hAnsi="Times New Roman"/>
          <w:sz w:val="24"/>
        </w:rPr>
        <w:lastRenderedPageBreak/>
        <w:t>a </w:t>
      </w:r>
      <w:r w:rsidR="00210F88">
        <w:rPr>
          <w:rFonts w:ascii="Times New Roman" w:hAnsi="Times New Roman"/>
          <w:sz w:val="24"/>
        </w:rPr>
        <w:t>povolání</w:t>
      </w:r>
      <w:r w:rsidR="0051719E">
        <w:rPr>
          <w:rFonts w:ascii="Times New Roman" w:hAnsi="Times New Roman"/>
          <w:sz w:val="24"/>
        </w:rPr>
        <w:t xml:space="preserve"> a </w:t>
      </w:r>
      <w:r w:rsidR="00210F88">
        <w:rPr>
          <w:rFonts w:ascii="Times New Roman" w:hAnsi="Times New Roman"/>
          <w:sz w:val="24"/>
        </w:rPr>
        <w:t xml:space="preserve">dále, že zásada zákazu diskriminace na základě věku je obecnou zásadou práva </w:t>
      </w:r>
      <w:r w:rsidR="0081524A">
        <w:rPr>
          <w:rFonts w:ascii="Times New Roman" w:hAnsi="Times New Roman"/>
          <w:sz w:val="24"/>
        </w:rPr>
        <w:t>Evropské u</w:t>
      </w:r>
      <w:r w:rsidR="00210F88">
        <w:rPr>
          <w:rFonts w:ascii="Times New Roman" w:hAnsi="Times New Roman"/>
          <w:sz w:val="24"/>
        </w:rPr>
        <w:t>nie</w:t>
      </w:r>
      <w:r w:rsidR="00A35436">
        <w:rPr>
          <w:rFonts w:ascii="Times New Roman" w:hAnsi="Times New Roman"/>
          <w:sz w:val="24"/>
        </w:rPr>
        <w:t>, jelikož jde o</w:t>
      </w:r>
      <w:r w:rsidR="00210F88">
        <w:rPr>
          <w:rFonts w:ascii="Times New Roman" w:hAnsi="Times New Roman"/>
          <w:sz w:val="24"/>
        </w:rPr>
        <w:t xml:space="preserve"> zvláštní vyjádření obecné zásady rovného zacházení.</w:t>
      </w:r>
    </w:p>
    <w:p w14:paraId="5C8A5650" w14:textId="77777777" w:rsidR="00A35436" w:rsidRPr="00742EBA" w:rsidRDefault="00A35436" w:rsidP="00742EBA">
      <w:pPr>
        <w:ind w:left="708"/>
        <w:jc w:val="both"/>
        <w:rPr>
          <w:rFonts w:ascii="Times New Roman" w:hAnsi="Times New Roman" w:cs="Times New Roman"/>
          <w:sz w:val="24"/>
          <w:szCs w:val="24"/>
        </w:rPr>
      </w:pPr>
    </w:p>
    <w:p w14:paraId="68139014" w14:textId="0C42B520" w:rsidR="00114A44" w:rsidRPr="00114A44" w:rsidRDefault="00210F88" w:rsidP="00742EBA">
      <w:pPr>
        <w:jc w:val="both"/>
        <w:rPr>
          <w:rStyle w:val="Hypertextovodkaz"/>
          <w:b/>
          <w:bCs/>
        </w:rPr>
      </w:pPr>
      <w:hyperlink r:id="rId16" w:history="1">
        <w:r w:rsidRPr="00114A44">
          <w:rPr>
            <w:rStyle w:val="Hypertextovodkaz"/>
            <w:rFonts w:ascii="Times New Roman" w:hAnsi="Times New Roman"/>
            <w:b/>
            <w:bCs/>
            <w:sz w:val="24"/>
          </w:rPr>
          <w:t xml:space="preserve">Rozsudek Soudního dvora (Velkého senátu) ze dne 17. dubna 2018, </w:t>
        </w:r>
        <w:r w:rsidRPr="00114A44">
          <w:rPr>
            <w:rStyle w:val="Hypertextovodkaz"/>
            <w:rFonts w:ascii="Times New Roman" w:hAnsi="Times New Roman"/>
            <w:b/>
            <w:bCs/>
            <w:i/>
            <w:iCs/>
            <w:sz w:val="24"/>
          </w:rPr>
          <w:t>Vera Egenberger v. Evangelisches Werk fur Diakonie und Entwicklung ev</w:t>
        </w:r>
        <w:r w:rsidRPr="00114A44">
          <w:rPr>
            <w:rStyle w:val="Hypertextovodkaz"/>
            <w:rFonts w:ascii="Times New Roman" w:hAnsi="Times New Roman"/>
            <w:b/>
            <w:bCs/>
            <w:sz w:val="24"/>
          </w:rPr>
          <w:t>, C-414/16, ECLI:EU:C:2018:257</w:t>
        </w:r>
        <w:r w:rsidR="00114A44" w:rsidRPr="00114A44">
          <w:rPr>
            <w:rStyle w:val="Hypertextovodkaz"/>
            <w:rFonts w:ascii="Times New Roman" w:hAnsi="Times New Roman"/>
            <w:b/>
            <w:bCs/>
            <w:sz w:val="24"/>
          </w:rPr>
          <w:t>.</w:t>
        </w:r>
      </w:hyperlink>
      <w:r w:rsidRPr="00114A44">
        <w:rPr>
          <w:rStyle w:val="Hypertextovodkaz"/>
          <w:b/>
          <w:bCs/>
        </w:rPr>
        <w:t xml:space="preserve"> </w:t>
      </w:r>
    </w:p>
    <w:p w14:paraId="4C29739F" w14:textId="60EA737B" w:rsidR="00742EBA" w:rsidRDefault="00114A44" w:rsidP="00742EBA">
      <w:pPr>
        <w:ind w:left="708"/>
        <w:jc w:val="both"/>
        <w:rPr>
          <w:rFonts w:ascii="Times New Roman" w:hAnsi="Times New Roman" w:cs="Times New Roman"/>
          <w:sz w:val="24"/>
          <w:szCs w:val="24"/>
        </w:rPr>
      </w:pPr>
      <w:r>
        <w:rPr>
          <w:rFonts w:ascii="Times New Roman" w:hAnsi="Times New Roman"/>
          <w:sz w:val="24"/>
        </w:rPr>
        <w:t xml:space="preserve">Tento případ potvrdil, že Listina může být použita přímo soukromou osobou proti jiné osobě. </w:t>
      </w:r>
      <w:r w:rsidR="00742EBA">
        <w:rPr>
          <w:rFonts w:ascii="Times New Roman" w:hAnsi="Times New Roman"/>
          <w:sz w:val="24"/>
        </w:rPr>
        <w:t>S cílem zajistit dodržování této obecné zásady ukládá článek 9 směrnice 2000/78, ve spojení</w:t>
      </w:r>
      <w:r w:rsidR="0051719E">
        <w:rPr>
          <w:rFonts w:ascii="Times New Roman" w:hAnsi="Times New Roman"/>
          <w:sz w:val="24"/>
        </w:rPr>
        <w:t xml:space="preserve"> s </w:t>
      </w:r>
      <w:r w:rsidR="00742EBA">
        <w:rPr>
          <w:rFonts w:ascii="Times New Roman" w:hAnsi="Times New Roman"/>
          <w:sz w:val="24"/>
        </w:rPr>
        <w:t>jejím bodem 29 odůvodnění, členským státům, aby stanovily řízení, zejména soudní,</w:t>
      </w:r>
      <w:r w:rsidR="0051719E">
        <w:rPr>
          <w:rFonts w:ascii="Times New Roman" w:hAnsi="Times New Roman"/>
          <w:sz w:val="24"/>
        </w:rPr>
        <w:t xml:space="preserve"> k </w:t>
      </w:r>
      <w:r w:rsidR="00742EBA">
        <w:rPr>
          <w:rFonts w:ascii="Times New Roman" w:hAnsi="Times New Roman"/>
          <w:sz w:val="24"/>
        </w:rPr>
        <w:t>dodržování povinností podle této směrnice.  Kromě toho článek 10 téže směrnice vyžaduje, aby členské státy</w:t>
      </w:r>
      <w:r w:rsidR="0051719E">
        <w:rPr>
          <w:rFonts w:ascii="Times New Roman" w:hAnsi="Times New Roman"/>
          <w:sz w:val="24"/>
        </w:rPr>
        <w:t xml:space="preserve"> v </w:t>
      </w:r>
      <w:r w:rsidR="00742EBA">
        <w:rPr>
          <w:rFonts w:ascii="Times New Roman" w:hAnsi="Times New Roman"/>
          <w:sz w:val="24"/>
        </w:rPr>
        <w:t>souladu se svými vnitrostátními soudními systémy přijaly nezbytná opatření, aby pokud se určitá osoba cítí poškozena nedodržením zásady rovného zacházení</w:t>
      </w:r>
      <w:r w:rsidR="0051719E">
        <w:rPr>
          <w:rFonts w:ascii="Times New Roman" w:hAnsi="Times New Roman"/>
          <w:sz w:val="24"/>
        </w:rPr>
        <w:t xml:space="preserve"> a </w:t>
      </w:r>
      <w:r w:rsidR="00742EBA">
        <w:rPr>
          <w:rFonts w:ascii="Times New Roman" w:hAnsi="Times New Roman"/>
          <w:sz w:val="24"/>
        </w:rPr>
        <w:t>předloží soudu nebo jinému příslušnému orgánu skutečnosti nasvědčující tomu, že došlo</w:t>
      </w:r>
      <w:r w:rsidR="0051719E">
        <w:rPr>
          <w:rFonts w:ascii="Times New Roman" w:hAnsi="Times New Roman"/>
          <w:sz w:val="24"/>
        </w:rPr>
        <w:t xml:space="preserve"> k </w:t>
      </w:r>
      <w:r w:rsidR="00742EBA">
        <w:rPr>
          <w:rFonts w:ascii="Times New Roman" w:hAnsi="Times New Roman"/>
          <w:sz w:val="24"/>
        </w:rPr>
        <w:t>přímé nebo nepřímé diskriminaci, příslušelo žalovanému prokázat, že nedošlo</w:t>
      </w:r>
      <w:r w:rsidR="0051719E">
        <w:rPr>
          <w:rFonts w:ascii="Times New Roman" w:hAnsi="Times New Roman"/>
          <w:sz w:val="24"/>
        </w:rPr>
        <w:t xml:space="preserve"> k </w:t>
      </w:r>
      <w:r w:rsidR="00742EBA">
        <w:rPr>
          <w:rFonts w:ascii="Times New Roman" w:hAnsi="Times New Roman"/>
          <w:sz w:val="24"/>
        </w:rPr>
        <w:t>porušení této zásady.</w:t>
      </w:r>
    </w:p>
    <w:p w14:paraId="6D457785" w14:textId="77777777" w:rsidR="00742EBA" w:rsidRPr="00742EBA" w:rsidRDefault="00742EBA" w:rsidP="00742EBA">
      <w:pPr>
        <w:ind w:left="708"/>
        <w:jc w:val="both"/>
        <w:rPr>
          <w:rFonts w:ascii="Times New Roman" w:hAnsi="Times New Roman" w:cs="Times New Roman"/>
          <w:sz w:val="24"/>
          <w:szCs w:val="24"/>
        </w:rPr>
      </w:pPr>
      <w:r>
        <w:rPr>
          <w:rFonts w:ascii="Times New Roman" w:hAnsi="Times New Roman"/>
          <w:sz w:val="24"/>
        </w:rPr>
        <w:t>Kromě toho Listina, která se na spor, jakým je spor dotčený ve věci</w:t>
      </w:r>
      <w:r w:rsidR="0051719E">
        <w:rPr>
          <w:rFonts w:ascii="Times New Roman" w:hAnsi="Times New Roman"/>
          <w:sz w:val="24"/>
        </w:rPr>
        <w:t xml:space="preserve"> v </w:t>
      </w:r>
      <w:r>
        <w:rPr>
          <w:rFonts w:ascii="Times New Roman" w:hAnsi="Times New Roman"/>
          <w:sz w:val="24"/>
        </w:rPr>
        <w:t xml:space="preserve">původním řízení, použije, jelikož zaprvé AGG do německého práva provádí směrnici 2000/78 ve smyslu </w:t>
      </w:r>
      <w:r w:rsidR="0051719E">
        <w:rPr>
          <w:rFonts w:ascii="Times New Roman" w:hAnsi="Times New Roman"/>
          <w:sz w:val="24"/>
        </w:rPr>
        <w:t>čl. </w:t>
      </w:r>
      <w:r>
        <w:rPr>
          <w:rFonts w:ascii="Times New Roman" w:hAnsi="Times New Roman"/>
          <w:sz w:val="24"/>
        </w:rPr>
        <w:t>51 odst. 1 Listiny</w:t>
      </w:r>
      <w:r w:rsidR="0051719E">
        <w:rPr>
          <w:rFonts w:ascii="Times New Roman" w:hAnsi="Times New Roman"/>
          <w:sz w:val="24"/>
        </w:rPr>
        <w:t xml:space="preserve"> a </w:t>
      </w:r>
      <w:r>
        <w:rPr>
          <w:rFonts w:ascii="Times New Roman" w:hAnsi="Times New Roman"/>
          <w:sz w:val="24"/>
        </w:rPr>
        <w:t>zadruhé se tento spor týká osoby, se kterou bylo</w:t>
      </w:r>
      <w:r w:rsidR="0051719E">
        <w:rPr>
          <w:rFonts w:ascii="Times New Roman" w:hAnsi="Times New Roman"/>
          <w:sz w:val="24"/>
        </w:rPr>
        <w:t xml:space="preserve"> v </w:t>
      </w:r>
      <w:r>
        <w:rPr>
          <w:rFonts w:ascii="Times New Roman" w:hAnsi="Times New Roman"/>
          <w:sz w:val="24"/>
        </w:rPr>
        <w:t>rámci přístupu</w:t>
      </w:r>
      <w:r w:rsidR="0051719E">
        <w:rPr>
          <w:rFonts w:ascii="Times New Roman" w:hAnsi="Times New Roman"/>
          <w:sz w:val="24"/>
        </w:rPr>
        <w:t xml:space="preserve"> k </w:t>
      </w:r>
      <w:r>
        <w:rPr>
          <w:rFonts w:ascii="Times New Roman" w:hAnsi="Times New Roman"/>
          <w:sz w:val="24"/>
        </w:rPr>
        <w:t>zaměstnání zacházeno rozdílně na základě náboženského vyznání,</w:t>
      </w:r>
      <w:r w:rsidR="0051719E">
        <w:rPr>
          <w:rFonts w:ascii="Times New Roman" w:hAnsi="Times New Roman"/>
          <w:sz w:val="24"/>
        </w:rPr>
        <w:t xml:space="preserve"> v </w:t>
      </w:r>
      <w:r>
        <w:rPr>
          <w:rFonts w:ascii="Times New Roman" w:hAnsi="Times New Roman"/>
          <w:sz w:val="24"/>
        </w:rPr>
        <w:t>článku 47 zakotvuje právo jednotlivců na účinnou soudní ochranu práv, která pro jednotlivce vyplývají</w:t>
      </w:r>
      <w:r w:rsidR="0051719E">
        <w:rPr>
          <w:rFonts w:ascii="Times New Roman" w:hAnsi="Times New Roman"/>
          <w:sz w:val="24"/>
        </w:rPr>
        <w:t xml:space="preserve"> z </w:t>
      </w:r>
      <w:r>
        <w:rPr>
          <w:rFonts w:ascii="Times New Roman" w:hAnsi="Times New Roman"/>
          <w:sz w:val="24"/>
        </w:rPr>
        <w:t>unijního práva</w:t>
      </w:r>
    </w:p>
    <w:p w14:paraId="1D072493" w14:textId="77777777" w:rsidR="00210F88" w:rsidRPr="00BC2D8C" w:rsidRDefault="00210F88" w:rsidP="00210F88">
      <w:pPr>
        <w:jc w:val="both"/>
        <w:rPr>
          <w:rFonts w:ascii="Times New Roman" w:hAnsi="Times New Roman" w:cs="Times New Roman"/>
          <w:sz w:val="24"/>
          <w:szCs w:val="24"/>
        </w:rPr>
      </w:pPr>
    </w:p>
    <w:p w14:paraId="3612ED9A" w14:textId="77777777" w:rsidR="00210F88" w:rsidRDefault="00742EBA" w:rsidP="00210F88">
      <w:pPr>
        <w:jc w:val="both"/>
        <w:rPr>
          <w:rFonts w:ascii="Times New Roman" w:hAnsi="Times New Roman"/>
          <w:b/>
          <w:sz w:val="24"/>
        </w:rPr>
      </w:pPr>
      <w:r>
        <w:rPr>
          <w:rFonts w:ascii="Times New Roman" w:hAnsi="Times New Roman"/>
          <w:b/>
          <w:sz w:val="24"/>
        </w:rPr>
        <w:t>ŘEŠENÍ</w:t>
      </w:r>
    </w:p>
    <w:p w14:paraId="485E99B3" w14:textId="77777777" w:rsidR="00624D64" w:rsidRPr="00624D64" w:rsidRDefault="00624D64" w:rsidP="00624D64">
      <w:pPr>
        <w:jc w:val="both"/>
        <w:rPr>
          <w:rFonts w:ascii="Times New Roman" w:hAnsi="Times New Roman"/>
          <w:b/>
          <w:bCs/>
          <w:sz w:val="24"/>
        </w:rPr>
      </w:pPr>
      <w:r w:rsidRPr="00624D64">
        <w:rPr>
          <w:rFonts w:ascii="Times New Roman" w:hAnsi="Times New Roman"/>
          <w:b/>
          <w:bCs/>
          <w:sz w:val="24"/>
        </w:rPr>
        <w:t>1. Použitelnost Listiny</w:t>
      </w:r>
    </w:p>
    <w:p w14:paraId="703B4FF3" w14:textId="46BA73FA" w:rsidR="00624D64" w:rsidRPr="00624D64" w:rsidRDefault="00624D64" w:rsidP="00624D64">
      <w:pPr>
        <w:jc w:val="both"/>
        <w:rPr>
          <w:rFonts w:ascii="Times New Roman" w:hAnsi="Times New Roman"/>
          <w:sz w:val="24"/>
        </w:rPr>
      </w:pPr>
      <w:r w:rsidRPr="00624D64">
        <w:rPr>
          <w:rFonts w:ascii="Times New Roman" w:hAnsi="Times New Roman"/>
          <w:sz w:val="24"/>
        </w:rPr>
        <w:t xml:space="preserve">Podle článku 51 odst. 1 Listiny základních práv </w:t>
      </w:r>
      <w:r w:rsidR="00AF5F18">
        <w:rPr>
          <w:rFonts w:ascii="Times New Roman" w:hAnsi="Times New Roman"/>
          <w:sz w:val="24"/>
        </w:rPr>
        <w:t>EU</w:t>
      </w:r>
      <w:r w:rsidRPr="00624D64">
        <w:rPr>
          <w:rFonts w:ascii="Times New Roman" w:hAnsi="Times New Roman"/>
          <w:sz w:val="24"/>
        </w:rPr>
        <w:t xml:space="preserve"> se její ustanovení vztahují na členské státy pouze tehdy, pokud provádějí právo Evropské unie. V tomto případě se uplatní směrnice 2000/78/ES, která stanoví rámec pro rovné zacházení v zaměstnání a povolání.</w:t>
      </w:r>
    </w:p>
    <w:p w14:paraId="2E771B02" w14:textId="77777777" w:rsidR="00624D64" w:rsidRPr="00624D64" w:rsidRDefault="00624D64" w:rsidP="00624D64">
      <w:pPr>
        <w:jc w:val="both"/>
        <w:rPr>
          <w:rFonts w:ascii="Times New Roman" w:hAnsi="Times New Roman"/>
          <w:sz w:val="24"/>
        </w:rPr>
      </w:pPr>
      <w:r w:rsidRPr="00624D64">
        <w:rPr>
          <w:rFonts w:ascii="Times New Roman" w:hAnsi="Times New Roman"/>
          <w:b/>
          <w:bCs/>
          <w:sz w:val="24"/>
        </w:rPr>
        <w:t>Rozsudek Soudního dvora EU ve věci Grima Janet Nisttahuz Pclava v. José María Ariza Toledano (C-117/14)</w:t>
      </w:r>
      <w:r w:rsidRPr="00624D64">
        <w:rPr>
          <w:rFonts w:ascii="Times New Roman" w:hAnsi="Times New Roman"/>
          <w:sz w:val="24"/>
        </w:rPr>
        <w:t xml:space="preserve"> potvrzuje, že ustanovení Listiny jsou použitelná v situacích, které spadají do oblasti působnosti práva EU. Tento rozsudek rovněž stanoví, že na ustanovení Listiny se lze odvolávat k vyloučení použití vnitrostátních právních předpisů, které jsou s nimi v rozporu – a to i ve sporech mezi soukromými subjekty.</w:t>
      </w:r>
    </w:p>
    <w:p w14:paraId="45880BC3" w14:textId="6CC34A73" w:rsidR="00340C7C" w:rsidRDefault="00624D64" w:rsidP="00210F88">
      <w:pPr>
        <w:jc w:val="both"/>
        <w:rPr>
          <w:rFonts w:ascii="Times New Roman" w:hAnsi="Times New Roman"/>
          <w:b/>
          <w:sz w:val="24"/>
        </w:rPr>
      </w:pPr>
      <w:r w:rsidRPr="00624D64">
        <w:rPr>
          <w:rFonts w:ascii="Times New Roman" w:hAnsi="Times New Roman"/>
          <w:sz w:val="24"/>
        </w:rPr>
        <w:t>Jelikož Maria tvrdí, že byla propuštěna z náboženských důvodů, její případ spadá do oblasti působnosti práva EU, konkrétně směrnice 2000/78/ES a článku 10 Listiny, který zaručuje svobodu myšlení, svědomí a náboženského vyznání.</w:t>
      </w:r>
    </w:p>
    <w:p w14:paraId="36112FAE" w14:textId="77777777" w:rsidR="00340C7C" w:rsidRPr="00340C7C" w:rsidRDefault="00340C7C" w:rsidP="00340C7C">
      <w:pPr>
        <w:jc w:val="both"/>
        <w:rPr>
          <w:rFonts w:ascii="Times New Roman" w:hAnsi="Times New Roman"/>
          <w:b/>
          <w:bCs/>
          <w:sz w:val="24"/>
        </w:rPr>
      </w:pPr>
      <w:r w:rsidRPr="00340C7C">
        <w:rPr>
          <w:rFonts w:ascii="Times New Roman" w:hAnsi="Times New Roman"/>
          <w:b/>
          <w:bCs/>
          <w:sz w:val="24"/>
        </w:rPr>
        <w:t>2. Diskriminační propuštění z náboženských důvodů</w:t>
      </w:r>
    </w:p>
    <w:p w14:paraId="4C5EFD0D" w14:textId="77777777" w:rsidR="00340C7C" w:rsidRPr="00340C7C" w:rsidRDefault="00340C7C" w:rsidP="00340C7C">
      <w:pPr>
        <w:jc w:val="both"/>
        <w:rPr>
          <w:rFonts w:ascii="Times New Roman" w:hAnsi="Times New Roman"/>
          <w:sz w:val="24"/>
        </w:rPr>
      </w:pPr>
      <w:r w:rsidRPr="00340C7C">
        <w:rPr>
          <w:rFonts w:ascii="Times New Roman" w:hAnsi="Times New Roman"/>
          <w:b/>
          <w:bCs/>
          <w:sz w:val="24"/>
        </w:rPr>
        <w:t>Směrnice 2000/78/ES</w:t>
      </w:r>
      <w:r w:rsidRPr="00340C7C">
        <w:rPr>
          <w:rFonts w:ascii="Times New Roman" w:hAnsi="Times New Roman"/>
          <w:sz w:val="24"/>
        </w:rPr>
        <w:t xml:space="preserve">, jak byla vyložena v </w:t>
      </w:r>
      <w:r w:rsidRPr="00340C7C">
        <w:rPr>
          <w:rFonts w:ascii="Times New Roman" w:hAnsi="Times New Roman"/>
          <w:b/>
          <w:bCs/>
          <w:sz w:val="24"/>
        </w:rPr>
        <w:t>rozsudku Soudního dvora EU ve věci Seda Küçükdeveci v. Swedex GmbH &amp; Co. KG (C-555/07)</w:t>
      </w:r>
      <w:r w:rsidRPr="00340C7C">
        <w:rPr>
          <w:rFonts w:ascii="Times New Roman" w:hAnsi="Times New Roman"/>
          <w:sz w:val="24"/>
        </w:rPr>
        <w:t>, vyjadřuje zásadu rovného zacházení a zakazuje diskriminaci v zaměstnání, mimo jiné také z důvodu náboženství nebo víry.</w:t>
      </w:r>
    </w:p>
    <w:p w14:paraId="731EC991" w14:textId="77777777" w:rsidR="00340C7C" w:rsidRPr="00340C7C" w:rsidRDefault="00340C7C" w:rsidP="00340C7C">
      <w:pPr>
        <w:jc w:val="both"/>
        <w:rPr>
          <w:rFonts w:ascii="Times New Roman" w:hAnsi="Times New Roman"/>
          <w:sz w:val="24"/>
        </w:rPr>
      </w:pPr>
      <w:r w:rsidRPr="00340C7C">
        <w:rPr>
          <w:rFonts w:ascii="Times New Roman" w:hAnsi="Times New Roman"/>
          <w:b/>
          <w:bCs/>
          <w:sz w:val="24"/>
        </w:rPr>
        <w:lastRenderedPageBreak/>
        <w:t>Rozsudek Soudního dvora EU ve věci Egenberger v. Evangelisches Werk für Diakonie und Entwicklung eV (C-414/16)</w:t>
      </w:r>
      <w:r w:rsidRPr="00340C7C">
        <w:rPr>
          <w:rFonts w:ascii="Times New Roman" w:hAnsi="Times New Roman"/>
          <w:sz w:val="24"/>
        </w:rPr>
        <w:t xml:space="preserve"> potvrzuje, že článek 9 směrnice ukládá členským státům povinnost zajistit soudní mechanismy, které umožní vymáhání této zásady.</w:t>
      </w:r>
    </w:p>
    <w:p w14:paraId="41836D8D" w14:textId="1D766D49" w:rsidR="006854D4" w:rsidRPr="006854D4" w:rsidRDefault="00340C7C" w:rsidP="006854D4">
      <w:pPr>
        <w:jc w:val="both"/>
        <w:rPr>
          <w:rFonts w:ascii="Times New Roman" w:hAnsi="Times New Roman"/>
          <w:sz w:val="24"/>
        </w:rPr>
      </w:pPr>
      <w:r w:rsidRPr="00340C7C">
        <w:rPr>
          <w:rFonts w:ascii="Times New Roman" w:hAnsi="Times New Roman"/>
          <w:sz w:val="24"/>
        </w:rPr>
        <w:t xml:space="preserve">Maria má proto právo na soudní ochranu, aby mohla napadnout své propuštění jako potenciálně diskriminační. Důkazní břemeno se podle článku 10 směrnice přesouvá na zaměstnavatele TAME. Maria musí předložit skutečnosti nasvědčující přímé nebo nepřímé diskriminaci (například své členství ve Scientologické církvi). Společnost TAME pak musí prokázat, že rozhodnutí nebylo založeno na náboženské diskriminaci, ale na oprávněných </w:t>
      </w:r>
      <w:r w:rsidR="00AE23B9">
        <w:rPr>
          <w:rFonts w:ascii="Times New Roman" w:hAnsi="Times New Roman"/>
          <w:sz w:val="24"/>
        </w:rPr>
        <w:t>podnikových zájmech</w:t>
      </w:r>
      <w:r w:rsidRPr="00340C7C">
        <w:rPr>
          <w:rFonts w:ascii="Times New Roman" w:hAnsi="Times New Roman"/>
          <w:sz w:val="24"/>
        </w:rPr>
        <w:t>.</w:t>
      </w:r>
    </w:p>
    <w:p w14:paraId="6664285C" w14:textId="77777777" w:rsidR="006854D4" w:rsidRPr="006854D4" w:rsidRDefault="006854D4" w:rsidP="006854D4">
      <w:pPr>
        <w:jc w:val="both"/>
        <w:rPr>
          <w:rFonts w:ascii="Times New Roman" w:hAnsi="Times New Roman"/>
          <w:b/>
          <w:bCs/>
          <w:sz w:val="24"/>
        </w:rPr>
      </w:pPr>
      <w:r w:rsidRPr="006854D4">
        <w:rPr>
          <w:rFonts w:ascii="Times New Roman" w:hAnsi="Times New Roman"/>
          <w:b/>
          <w:bCs/>
          <w:sz w:val="24"/>
        </w:rPr>
        <w:t>3. Právo na výpovědní dobu</w:t>
      </w:r>
    </w:p>
    <w:p w14:paraId="2B6D38F9" w14:textId="77777777" w:rsidR="006854D4" w:rsidRPr="006854D4" w:rsidRDefault="006854D4" w:rsidP="006854D4">
      <w:pPr>
        <w:jc w:val="both"/>
        <w:rPr>
          <w:rFonts w:ascii="Times New Roman" w:hAnsi="Times New Roman"/>
          <w:sz w:val="24"/>
        </w:rPr>
      </w:pPr>
      <w:r w:rsidRPr="006854D4">
        <w:rPr>
          <w:rFonts w:ascii="Times New Roman" w:hAnsi="Times New Roman"/>
          <w:sz w:val="24"/>
        </w:rPr>
        <w:t xml:space="preserve">Podle </w:t>
      </w:r>
      <w:r w:rsidRPr="006854D4">
        <w:rPr>
          <w:rFonts w:ascii="Times New Roman" w:hAnsi="Times New Roman"/>
          <w:b/>
          <w:bCs/>
          <w:sz w:val="24"/>
        </w:rPr>
        <w:t>směrnice 1999/70/ES</w:t>
      </w:r>
      <w:r w:rsidRPr="006854D4">
        <w:rPr>
          <w:rFonts w:ascii="Times New Roman" w:hAnsi="Times New Roman"/>
          <w:sz w:val="24"/>
        </w:rPr>
        <w:t>, která se týká pracovních poměrů na dobu určitou, může být ukončení pracovního poměru bez uvedení důvodu napadeno, pokud vede k nerovnému nebo nespravedlivému zacházení. Propuštění Marie v kombinaci s absencí výpovědní doby odporuje zásadám spravedlivého zacházení se zaměstnanci s pracovním poměrem na dobu určitou.</w:t>
      </w:r>
    </w:p>
    <w:p w14:paraId="182F8359" w14:textId="77777777" w:rsidR="006854D4" w:rsidRPr="006854D4" w:rsidRDefault="006854D4" w:rsidP="006854D4">
      <w:pPr>
        <w:jc w:val="both"/>
        <w:rPr>
          <w:rFonts w:ascii="Times New Roman" w:hAnsi="Times New Roman"/>
          <w:sz w:val="24"/>
        </w:rPr>
      </w:pPr>
      <w:r w:rsidRPr="006854D4">
        <w:rPr>
          <w:rFonts w:ascii="Times New Roman" w:hAnsi="Times New Roman"/>
          <w:sz w:val="24"/>
        </w:rPr>
        <w:t>Maria může rovněž požadovat náhradu škody za újmu způsobenou absencí výpovědní doby, jelikož její propuštění bylo v rozporu se zásadami práva Evropské unie.</w:t>
      </w:r>
    </w:p>
    <w:p w14:paraId="6DD68120" w14:textId="77777777" w:rsidR="00210F88" w:rsidRPr="007A58EF" w:rsidRDefault="00210F88" w:rsidP="00210F88">
      <w:pPr>
        <w:rPr>
          <w:rFonts w:ascii="Times New Roman" w:hAnsi="Times New Roman" w:cs="Times New Roman"/>
          <w:color w:val="215E99" w:themeColor="text2" w:themeTint="BF"/>
          <w:sz w:val="24"/>
          <w:szCs w:val="24"/>
          <w:u w:val="single"/>
        </w:rPr>
      </w:pPr>
    </w:p>
    <w:p w14:paraId="5924A8AD" w14:textId="2EC56408" w:rsidR="00210F88" w:rsidRPr="007A58EF" w:rsidRDefault="00742EBA" w:rsidP="00210F88">
      <w:pPr>
        <w:jc w:val="both"/>
        <w:rPr>
          <w:rFonts w:ascii="Times New Roman" w:hAnsi="Times New Roman" w:cs="Times New Roman"/>
          <w:color w:val="215E99" w:themeColor="text2" w:themeTint="BF"/>
          <w:sz w:val="24"/>
          <w:szCs w:val="24"/>
          <w:u w:val="single"/>
        </w:rPr>
      </w:pPr>
      <w:r w:rsidRPr="007A58EF">
        <w:rPr>
          <w:rFonts w:ascii="Times New Roman" w:hAnsi="Times New Roman"/>
          <w:b/>
          <w:color w:val="215E99" w:themeColor="text2" w:themeTint="BF"/>
          <w:sz w:val="24"/>
          <w:u w:val="single"/>
        </w:rPr>
        <w:t xml:space="preserve">2. Druhá </w:t>
      </w:r>
      <w:r w:rsidR="00D95FAA">
        <w:rPr>
          <w:rFonts w:ascii="Times New Roman" w:hAnsi="Times New Roman"/>
          <w:b/>
          <w:color w:val="215E99" w:themeColor="text2" w:themeTint="BF"/>
          <w:sz w:val="24"/>
          <w:u w:val="single"/>
        </w:rPr>
        <w:t xml:space="preserve">právní </w:t>
      </w:r>
      <w:r w:rsidRPr="007A58EF">
        <w:rPr>
          <w:rFonts w:ascii="Times New Roman" w:hAnsi="Times New Roman"/>
          <w:b/>
          <w:color w:val="215E99" w:themeColor="text2" w:themeTint="BF"/>
          <w:sz w:val="24"/>
          <w:u w:val="single"/>
        </w:rPr>
        <w:t>otázka:</w:t>
      </w:r>
      <w:r w:rsidRPr="007A58EF">
        <w:rPr>
          <w:rFonts w:ascii="Times New Roman" w:hAnsi="Times New Roman"/>
          <w:color w:val="215E99" w:themeColor="text2" w:themeTint="BF"/>
          <w:sz w:val="24"/>
          <w:u w:val="single"/>
        </w:rPr>
        <w:t xml:space="preserve"> </w:t>
      </w:r>
      <w:r w:rsidRPr="007A58EF">
        <w:rPr>
          <w:rFonts w:ascii="Times New Roman" w:hAnsi="Times New Roman"/>
          <w:b/>
          <w:color w:val="215E99" w:themeColor="text2" w:themeTint="BF"/>
          <w:sz w:val="24"/>
          <w:u w:val="single"/>
        </w:rPr>
        <w:t>ukončení smlouvy</w:t>
      </w:r>
      <w:r w:rsidR="0051719E" w:rsidRPr="007A58EF">
        <w:rPr>
          <w:rFonts w:ascii="Times New Roman" w:hAnsi="Times New Roman"/>
          <w:b/>
          <w:color w:val="215E99" w:themeColor="text2" w:themeTint="BF"/>
          <w:sz w:val="24"/>
          <w:u w:val="single"/>
        </w:rPr>
        <w:t xml:space="preserve"> s </w:t>
      </w:r>
      <w:r w:rsidRPr="007A58EF">
        <w:rPr>
          <w:rFonts w:ascii="Times New Roman" w:hAnsi="Times New Roman"/>
          <w:b/>
          <w:color w:val="215E99" w:themeColor="text2" w:themeTint="BF"/>
          <w:sz w:val="24"/>
          <w:u w:val="single"/>
        </w:rPr>
        <w:t>Lucií</w:t>
      </w:r>
      <w:r w:rsidR="0051719E" w:rsidRPr="007A58EF">
        <w:rPr>
          <w:rFonts w:ascii="Times New Roman" w:hAnsi="Times New Roman"/>
          <w:b/>
          <w:color w:val="215E99" w:themeColor="text2" w:themeTint="BF"/>
          <w:sz w:val="24"/>
          <w:u w:val="single"/>
        </w:rPr>
        <w:t xml:space="preserve"> z </w:t>
      </w:r>
      <w:r w:rsidRPr="007A58EF">
        <w:rPr>
          <w:rFonts w:ascii="Times New Roman" w:hAnsi="Times New Roman"/>
          <w:b/>
          <w:color w:val="215E99" w:themeColor="text2" w:themeTint="BF"/>
          <w:sz w:val="24"/>
          <w:u w:val="single"/>
        </w:rPr>
        <w:t>důvodu porušení svobody projevu.</w:t>
      </w:r>
    </w:p>
    <w:p w14:paraId="6E67DF05" w14:textId="77777777" w:rsidR="00210F88" w:rsidRPr="007A58EF" w:rsidRDefault="00210F88" w:rsidP="007A58EF">
      <w:pPr>
        <w:jc w:val="both"/>
        <w:rPr>
          <w:rFonts w:ascii="Times New Roman" w:hAnsi="Times New Roman" w:cs="Times New Roman"/>
          <w:b/>
          <w:bCs/>
          <w:sz w:val="24"/>
          <w:szCs w:val="24"/>
        </w:rPr>
      </w:pPr>
      <w:r w:rsidRPr="007A58EF">
        <w:rPr>
          <w:rFonts w:ascii="Times New Roman" w:hAnsi="Times New Roman"/>
          <w:b/>
          <w:sz w:val="24"/>
        </w:rPr>
        <w:t xml:space="preserve">Skutečnosti </w:t>
      </w:r>
    </w:p>
    <w:p w14:paraId="21E3AB6B" w14:textId="77777777" w:rsidR="00210F88" w:rsidRPr="00742EBA" w:rsidRDefault="00210F88" w:rsidP="00210F88">
      <w:pPr>
        <w:jc w:val="both"/>
        <w:rPr>
          <w:rFonts w:ascii="Times New Roman" w:hAnsi="Times New Roman" w:cs="Times New Roman"/>
          <w:sz w:val="24"/>
          <w:szCs w:val="24"/>
        </w:rPr>
      </w:pPr>
      <w:r>
        <w:rPr>
          <w:rFonts w:ascii="Times New Roman" w:hAnsi="Times New Roman"/>
          <w:sz w:val="24"/>
        </w:rPr>
        <w:t>Lucie je zprávou</w:t>
      </w:r>
      <w:r w:rsidR="0051719E">
        <w:rPr>
          <w:rFonts w:ascii="Times New Roman" w:hAnsi="Times New Roman"/>
          <w:sz w:val="24"/>
        </w:rPr>
        <w:t xml:space="preserve"> o </w:t>
      </w:r>
      <w:r>
        <w:rPr>
          <w:rFonts w:ascii="Times New Roman" w:hAnsi="Times New Roman"/>
          <w:sz w:val="24"/>
        </w:rPr>
        <w:t>propuštění své sestry pobouřena</w:t>
      </w:r>
      <w:r w:rsidR="0051719E">
        <w:rPr>
          <w:rFonts w:ascii="Times New Roman" w:hAnsi="Times New Roman"/>
          <w:sz w:val="24"/>
        </w:rPr>
        <w:t xml:space="preserve"> a </w:t>
      </w:r>
      <w:r>
        <w:rPr>
          <w:rFonts w:ascii="Times New Roman" w:hAnsi="Times New Roman"/>
          <w:sz w:val="24"/>
        </w:rPr>
        <w:t>rozhodne se poslat zaměstnancům společnosti TAME e-mail,</w:t>
      </w:r>
      <w:r w:rsidR="0051719E">
        <w:rPr>
          <w:rFonts w:ascii="Times New Roman" w:hAnsi="Times New Roman"/>
          <w:sz w:val="24"/>
        </w:rPr>
        <w:t xml:space="preserve"> v </w:t>
      </w:r>
      <w:r>
        <w:rPr>
          <w:rFonts w:ascii="Times New Roman" w:hAnsi="Times New Roman"/>
          <w:sz w:val="24"/>
        </w:rPr>
        <w:t>němž informuje své kolegy</w:t>
      </w:r>
      <w:r w:rsidR="0051719E">
        <w:rPr>
          <w:rFonts w:ascii="Times New Roman" w:hAnsi="Times New Roman"/>
          <w:sz w:val="24"/>
        </w:rPr>
        <w:t xml:space="preserve"> o </w:t>
      </w:r>
      <w:r>
        <w:rPr>
          <w:rFonts w:ascii="Times New Roman" w:hAnsi="Times New Roman"/>
          <w:sz w:val="24"/>
        </w:rPr>
        <w:t>diskriminační politice společnosti. Tato zpráva vyvolala stávku zaměstnanců</w:t>
      </w:r>
      <w:r w:rsidR="0051719E">
        <w:rPr>
          <w:rFonts w:ascii="Times New Roman" w:hAnsi="Times New Roman"/>
          <w:sz w:val="24"/>
        </w:rPr>
        <w:t xml:space="preserve"> a </w:t>
      </w:r>
      <w:r>
        <w:rPr>
          <w:rFonts w:ascii="Times New Roman" w:hAnsi="Times New Roman"/>
          <w:sz w:val="24"/>
        </w:rPr>
        <w:t>vedení společnosti TAME zahájilo řízení</w:t>
      </w:r>
      <w:r w:rsidR="0051719E">
        <w:rPr>
          <w:rFonts w:ascii="Times New Roman" w:hAnsi="Times New Roman"/>
          <w:sz w:val="24"/>
        </w:rPr>
        <w:t xml:space="preserve"> o </w:t>
      </w:r>
      <w:r>
        <w:rPr>
          <w:rFonts w:ascii="Times New Roman" w:hAnsi="Times New Roman"/>
          <w:sz w:val="24"/>
        </w:rPr>
        <w:t>propuštění Lucie (která má smlouvu na dobu neurčitou), která argumentovala tím, že pouze uplatnila svou svobodu projevu, aniž by vyslovila jakoukoli urážku nebo hrozbu. Společnost TAME nevyplatí Lucii žádnou finanční náhradu za dovolenou, protože byla propuštěna za hrubé porušení pracovní kázně</w:t>
      </w:r>
      <w:r w:rsidR="0051719E">
        <w:rPr>
          <w:rFonts w:ascii="Times New Roman" w:hAnsi="Times New Roman"/>
          <w:sz w:val="24"/>
        </w:rPr>
        <w:t xml:space="preserve"> a </w:t>
      </w:r>
      <w:r>
        <w:rPr>
          <w:rFonts w:ascii="Times New Roman" w:hAnsi="Times New Roman"/>
          <w:sz w:val="24"/>
        </w:rPr>
        <w:t>podle nové protikrizové právní úpravy není zaměstnavatel povinen finanční náhradu za dovolenou</w:t>
      </w:r>
      <w:r w:rsidR="0051719E">
        <w:rPr>
          <w:rFonts w:ascii="Times New Roman" w:hAnsi="Times New Roman"/>
          <w:sz w:val="24"/>
        </w:rPr>
        <w:t xml:space="preserve"> v </w:t>
      </w:r>
      <w:r>
        <w:rPr>
          <w:rFonts w:ascii="Times New Roman" w:hAnsi="Times New Roman"/>
          <w:sz w:val="24"/>
        </w:rPr>
        <w:t>případě propuštění za hrubé porušení pracovní kázně platit.</w:t>
      </w:r>
    </w:p>
    <w:p w14:paraId="3633F13A" w14:textId="77777777" w:rsidR="00210F88" w:rsidRPr="00BC2D8C" w:rsidRDefault="00210F88" w:rsidP="00210F88">
      <w:pPr>
        <w:rPr>
          <w:rFonts w:ascii="Times New Roman" w:hAnsi="Times New Roman" w:cs="Times New Roman"/>
          <w:b/>
          <w:bCs/>
          <w:color w:val="000000"/>
          <w:sz w:val="24"/>
          <w:szCs w:val="24"/>
        </w:rPr>
      </w:pPr>
    </w:p>
    <w:p w14:paraId="01BA113F" w14:textId="77777777" w:rsidR="00210F88" w:rsidRPr="007A58EF" w:rsidRDefault="00210F88" w:rsidP="007A58EF">
      <w:pPr>
        <w:rPr>
          <w:rFonts w:ascii="Times New Roman" w:hAnsi="Times New Roman" w:cs="Times New Roman"/>
          <w:b/>
          <w:bCs/>
          <w:color w:val="000000"/>
          <w:sz w:val="24"/>
          <w:szCs w:val="24"/>
        </w:rPr>
      </w:pPr>
      <w:r w:rsidRPr="007A58EF">
        <w:rPr>
          <w:rFonts w:ascii="Times New Roman" w:hAnsi="Times New Roman"/>
          <w:b/>
          <w:color w:val="000000"/>
          <w:sz w:val="24"/>
        </w:rPr>
        <w:t xml:space="preserve">Použitelná ustanovení </w:t>
      </w:r>
    </w:p>
    <w:p w14:paraId="6CF2E7CC" w14:textId="2C385FB4" w:rsidR="00262F24" w:rsidRPr="0000635C" w:rsidRDefault="00262F24" w:rsidP="0000635C">
      <w:pPr>
        <w:pStyle w:val="Odstavecseseznamem"/>
        <w:numPr>
          <w:ilvl w:val="0"/>
          <w:numId w:val="6"/>
        </w:numPr>
        <w:rPr>
          <w:rFonts w:ascii="Times New Roman" w:hAnsi="Times New Roman"/>
          <w:sz w:val="24"/>
        </w:rPr>
      </w:pPr>
      <w:r w:rsidRPr="0000635C">
        <w:rPr>
          <w:rFonts w:ascii="Times New Roman" w:hAnsi="Times New Roman"/>
          <w:sz w:val="24"/>
        </w:rPr>
        <w:t>Článek 10 Listiny: Svoboda myšlení, svědomí a náboženského vyznání</w:t>
      </w:r>
    </w:p>
    <w:p w14:paraId="3DB36795" w14:textId="13F2C224" w:rsidR="00262F24" w:rsidRPr="0000635C" w:rsidRDefault="00262F24" w:rsidP="0000635C">
      <w:pPr>
        <w:pStyle w:val="Odstavecseseznamem"/>
        <w:numPr>
          <w:ilvl w:val="0"/>
          <w:numId w:val="6"/>
        </w:numPr>
        <w:rPr>
          <w:rFonts w:ascii="Times New Roman" w:hAnsi="Times New Roman"/>
          <w:sz w:val="24"/>
        </w:rPr>
      </w:pPr>
      <w:r w:rsidRPr="0000635C">
        <w:rPr>
          <w:rFonts w:ascii="Times New Roman" w:hAnsi="Times New Roman"/>
          <w:sz w:val="24"/>
        </w:rPr>
        <w:t>Článek 30 Listiny</w:t>
      </w:r>
      <w:r w:rsidR="0079724D">
        <w:rPr>
          <w:rFonts w:ascii="Times New Roman" w:hAnsi="Times New Roman"/>
          <w:sz w:val="24"/>
        </w:rPr>
        <w:t xml:space="preserve">: </w:t>
      </w:r>
      <w:r w:rsidRPr="0000635C">
        <w:rPr>
          <w:rFonts w:ascii="Times New Roman" w:hAnsi="Times New Roman"/>
          <w:sz w:val="24"/>
        </w:rPr>
        <w:t>Právo na ochranu před neoprávněným propuštěním</w:t>
      </w:r>
    </w:p>
    <w:p w14:paraId="26999D51" w14:textId="40F08AA3" w:rsidR="00262F24" w:rsidRPr="0000635C" w:rsidRDefault="00262F24" w:rsidP="0000635C">
      <w:pPr>
        <w:pStyle w:val="Odstavecseseznamem"/>
        <w:numPr>
          <w:ilvl w:val="0"/>
          <w:numId w:val="6"/>
        </w:numPr>
        <w:rPr>
          <w:rFonts w:ascii="Times New Roman" w:hAnsi="Times New Roman"/>
          <w:sz w:val="24"/>
        </w:rPr>
      </w:pPr>
      <w:r w:rsidRPr="0000635C">
        <w:rPr>
          <w:rFonts w:ascii="Times New Roman" w:hAnsi="Times New Roman"/>
          <w:sz w:val="24"/>
        </w:rPr>
        <w:t>Článek 51 Listiny: Oblast p</w:t>
      </w:r>
      <w:r w:rsidR="005E26E3">
        <w:rPr>
          <w:rFonts w:ascii="Times New Roman" w:hAnsi="Times New Roman"/>
          <w:sz w:val="24"/>
        </w:rPr>
        <w:t>oužití</w:t>
      </w:r>
      <w:r w:rsidRPr="0000635C">
        <w:rPr>
          <w:rFonts w:ascii="Times New Roman" w:hAnsi="Times New Roman"/>
          <w:sz w:val="24"/>
        </w:rPr>
        <w:t xml:space="preserve"> Listiny</w:t>
      </w:r>
    </w:p>
    <w:p w14:paraId="4CC70E80" w14:textId="77777777" w:rsidR="00210F88" w:rsidRPr="00BC2D8C" w:rsidRDefault="00210F88" w:rsidP="00210F88">
      <w:pPr>
        <w:jc w:val="both"/>
        <w:rPr>
          <w:rFonts w:ascii="Times New Roman" w:hAnsi="Times New Roman" w:cs="Times New Roman"/>
          <w:b/>
          <w:bCs/>
          <w:sz w:val="24"/>
          <w:szCs w:val="24"/>
        </w:rPr>
      </w:pPr>
    </w:p>
    <w:p w14:paraId="0B8432A6" w14:textId="77777777" w:rsidR="00210F88" w:rsidRPr="006E636A" w:rsidRDefault="006E636A" w:rsidP="006E636A">
      <w:pPr>
        <w:jc w:val="both"/>
        <w:rPr>
          <w:rFonts w:ascii="Times New Roman" w:hAnsi="Times New Roman" w:cs="Times New Roman"/>
          <w:b/>
          <w:bCs/>
          <w:sz w:val="24"/>
          <w:szCs w:val="24"/>
        </w:rPr>
      </w:pPr>
      <w:r>
        <w:rPr>
          <w:rFonts w:ascii="Times New Roman" w:hAnsi="Times New Roman"/>
          <w:b/>
          <w:sz w:val="24"/>
        </w:rPr>
        <w:t>ŘEŠENÍ</w:t>
      </w:r>
    </w:p>
    <w:p w14:paraId="2BB36504" w14:textId="1BCB2B51" w:rsidR="00255232" w:rsidRPr="00255232" w:rsidRDefault="00255232" w:rsidP="00255232">
      <w:pPr>
        <w:rPr>
          <w:rFonts w:ascii="Times New Roman" w:hAnsi="Times New Roman"/>
          <w:sz w:val="24"/>
        </w:rPr>
      </w:pPr>
      <w:r w:rsidRPr="00255232">
        <w:rPr>
          <w:rFonts w:ascii="Times New Roman" w:hAnsi="Times New Roman"/>
          <w:sz w:val="24"/>
        </w:rPr>
        <w:t xml:space="preserve">Podle článku </w:t>
      </w:r>
      <w:r w:rsidRPr="00255232">
        <w:rPr>
          <w:rFonts w:ascii="Times New Roman" w:hAnsi="Times New Roman"/>
          <w:b/>
          <w:bCs/>
          <w:sz w:val="24"/>
        </w:rPr>
        <w:t xml:space="preserve">51 Listiny základních práv </w:t>
      </w:r>
      <w:r w:rsidR="00AD4E48" w:rsidRPr="006747F0">
        <w:rPr>
          <w:rFonts w:ascii="Times New Roman" w:hAnsi="Times New Roman"/>
          <w:b/>
          <w:bCs/>
          <w:sz w:val="24"/>
        </w:rPr>
        <w:t>Evropské unie</w:t>
      </w:r>
      <w:r w:rsidRPr="00255232">
        <w:rPr>
          <w:rFonts w:ascii="Times New Roman" w:hAnsi="Times New Roman"/>
          <w:sz w:val="24"/>
        </w:rPr>
        <w:t xml:space="preserve"> se Listina uplatňuje pouze tehdy, když členské státy provádějí právo EU.</w:t>
      </w:r>
    </w:p>
    <w:p w14:paraId="1C3709D8" w14:textId="77777777" w:rsidR="00255232" w:rsidRPr="00255232" w:rsidRDefault="00255232" w:rsidP="00255232">
      <w:pPr>
        <w:rPr>
          <w:rFonts w:ascii="Times New Roman" w:hAnsi="Times New Roman"/>
          <w:sz w:val="24"/>
        </w:rPr>
      </w:pPr>
      <w:r w:rsidRPr="00255232">
        <w:rPr>
          <w:rFonts w:ascii="Times New Roman" w:hAnsi="Times New Roman"/>
          <w:b/>
          <w:bCs/>
          <w:sz w:val="24"/>
        </w:rPr>
        <w:lastRenderedPageBreak/>
        <w:t>Rozsudek Soudního dvora EU ve věci Grima Janet Nisttahuz Pclava v. José María Ariza Toledano (C-117/14)</w:t>
      </w:r>
      <w:r w:rsidRPr="00255232">
        <w:rPr>
          <w:rFonts w:ascii="Times New Roman" w:hAnsi="Times New Roman"/>
          <w:sz w:val="24"/>
        </w:rPr>
        <w:t xml:space="preserve"> upřesnil, že článek 30, který poskytuje ochranu před neoprávněným propuštěním, nemůže sloužit jako samostatný právní základ pro napadení propuštění, pokud neexistuje jiná jasná souvislost s právem EU.</w:t>
      </w:r>
    </w:p>
    <w:p w14:paraId="06817093" w14:textId="77777777" w:rsidR="00255232" w:rsidRPr="00255232" w:rsidRDefault="00255232" w:rsidP="00255232">
      <w:pPr>
        <w:rPr>
          <w:rFonts w:ascii="Times New Roman" w:hAnsi="Times New Roman"/>
          <w:sz w:val="24"/>
        </w:rPr>
      </w:pPr>
      <w:r w:rsidRPr="00255232">
        <w:rPr>
          <w:rFonts w:ascii="Times New Roman" w:hAnsi="Times New Roman"/>
          <w:sz w:val="24"/>
        </w:rPr>
        <w:t xml:space="preserve">Článek 10 Listiny garantuje </w:t>
      </w:r>
      <w:r w:rsidRPr="00255232">
        <w:rPr>
          <w:rFonts w:ascii="Times New Roman" w:hAnsi="Times New Roman"/>
          <w:b/>
          <w:bCs/>
          <w:sz w:val="24"/>
        </w:rPr>
        <w:t>svobodu projevu</w:t>
      </w:r>
      <w:r w:rsidRPr="00255232">
        <w:rPr>
          <w:rFonts w:ascii="Times New Roman" w:hAnsi="Times New Roman"/>
          <w:sz w:val="24"/>
        </w:rPr>
        <w:t xml:space="preserve">, avšak jak bylo objasněno </w:t>
      </w:r>
      <w:r w:rsidRPr="00255232">
        <w:rPr>
          <w:rFonts w:ascii="Times New Roman" w:hAnsi="Times New Roman"/>
          <w:b/>
          <w:bCs/>
          <w:sz w:val="24"/>
        </w:rPr>
        <w:t>v rozsudku Soudního dvora ve věci Van Egenberger v. Evangelisches Werk für Diakonie und Entwicklung eV (C-414/16)</w:t>
      </w:r>
      <w:r w:rsidRPr="00255232">
        <w:rPr>
          <w:rFonts w:ascii="Times New Roman" w:hAnsi="Times New Roman"/>
          <w:sz w:val="24"/>
        </w:rPr>
        <w:t>, toto právo automaticky nezavazuje soukromé subjekty vůči sobě navzájem.</w:t>
      </w:r>
    </w:p>
    <w:p w14:paraId="7D69B28C" w14:textId="5E112EE5" w:rsidR="00210F88" w:rsidRPr="009A1892" w:rsidRDefault="00255232" w:rsidP="00210F88">
      <w:pPr>
        <w:rPr>
          <w:rFonts w:ascii="Times New Roman" w:hAnsi="Times New Roman"/>
          <w:sz w:val="24"/>
        </w:rPr>
      </w:pPr>
      <w:r w:rsidRPr="00255232">
        <w:rPr>
          <w:rFonts w:ascii="Times New Roman" w:hAnsi="Times New Roman"/>
          <w:sz w:val="24"/>
        </w:rPr>
        <w:t>Z toho důvodu nelze propuštění Lucie přímo napadnout na základě článků 10 nebo 30 Listiny vzhledem k absenci konkrétních předpisů EU týkajících se propuštění.</w:t>
      </w:r>
    </w:p>
    <w:p w14:paraId="5AF3B23F" w14:textId="77777777" w:rsidR="0089327F" w:rsidRPr="00BC2D8C" w:rsidRDefault="0089327F" w:rsidP="00210F88">
      <w:pPr>
        <w:rPr>
          <w:rFonts w:ascii="Times New Roman" w:hAnsi="Times New Roman" w:cs="Times New Roman"/>
          <w:sz w:val="24"/>
          <w:szCs w:val="24"/>
        </w:rPr>
      </w:pPr>
    </w:p>
    <w:p w14:paraId="520A11CC" w14:textId="3D464603" w:rsidR="00210F88" w:rsidRPr="00EC2AB4" w:rsidRDefault="006E636A" w:rsidP="00210F88">
      <w:pPr>
        <w:jc w:val="both"/>
        <w:rPr>
          <w:rFonts w:ascii="Times New Roman" w:hAnsi="Times New Roman" w:cs="Times New Roman"/>
          <w:b/>
          <w:bCs/>
          <w:color w:val="215E99" w:themeColor="text2" w:themeTint="BF"/>
          <w:sz w:val="24"/>
          <w:szCs w:val="24"/>
          <w:u w:val="single"/>
        </w:rPr>
      </w:pPr>
      <w:r w:rsidRPr="00EC2AB4">
        <w:rPr>
          <w:rFonts w:ascii="Times New Roman" w:hAnsi="Times New Roman"/>
          <w:b/>
          <w:color w:val="215E99" w:themeColor="text2" w:themeTint="BF"/>
          <w:sz w:val="24"/>
          <w:u w:val="single"/>
        </w:rPr>
        <w:t xml:space="preserve">3. Třetí </w:t>
      </w:r>
      <w:r w:rsidR="00957D61">
        <w:rPr>
          <w:rFonts w:ascii="Times New Roman" w:hAnsi="Times New Roman"/>
          <w:b/>
          <w:color w:val="215E99" w:themeColor="text2" w:themeTint="BF"/>
          <w:sz w:val="24"/>
          <w:u w:val="single"/>
        </w:rPr>
        <w:t>právní otázka</w:t>
      </w:r>
      <w:r w:rsidRPr="00EC2AB4">
        <w:rPr>
          <w:rFonts w:ascii="Times New Roman" w:hAnsi="Times New Roman"/>
          <w:b/>
          <w:color w:val="215E99" w:themeColor="text2" w:themeTint="BF"/>
          <w:sz w:val="24"/>
          <w:u w:val="single"/>
        </w:rPr>
        <w:t xml:space="preserve">: finanční náhrada za dovolenou </w:t>
      </w:r>
    </w:p>
    <w:p w14:paraId="6759A310" w14:textId="77777777" w:rsidR="00210F88" w:rsidRPr="00EC2AB4" w:rsidRDefault="00210F88" w:rsidP="00EC2AB4">
      <w:pPr>
        <w:jc w:val="both"/>
        <w:rPr>
          <w:rFonts w:ascii="Times New Roman" w:hAnsi="Times New Roman" w:cs="Times New Roman"/>
          <w:b/>
          <w:bCs/>
          <w:sz w:val="24"/>
          <w:szCs w:val="24"/>
        </w:rPr>
      </w:pPr>
      <w:r w:rsidRPr="00EC2AB4">
        <w:rPr>
          <w:rFonts w:ascii="Times New Roman" w:hAnsi="Times New Roman"/>
          <w:b/>
          <w:sz w:val="24"/>
        </w:rPr>
        <w:t xml:space="preserve">Skutečnosti </w:t>
      </w:r>
    </w:p>
    <w:p w14:paraId="74D1827D" w14:textId="77777777" w:rsidR="00210F88" w:rsidRPr="00742EBA" w:rsidRDefault="00210F88" w:rsidP="00210F88">
      <w:pPr>
        <w:jc w:val="both"/>
        <w:rPr>
          <w:rFonts w:ascii="Times New Roman" w:hAnsi="Times New Roman" w:cs="Times New Roman"/>
          <w:sz w:val="24"/>
          <w:szCs w:val="24"/>
        </w:rPr>
      </w:pPr>
      <w:r>
        <w:rPr>
          <w:rFonts w:ascii="Times New Roman" w:hAnsi="Times New Roman"/>
          <w:sz w:val="24"/>
        </w:rPr>
        <w:t>Společnost TAME nevyplatí Lucii žádnou finanční náhradu za dovolenou, protože byla propuštěna za hrubé porušení pracovní kázně</w:t>
      </w:r>
      <w:r w:rsidR="0051719E">
        <w:rPr>
          <w:rFonts w:ascii="Times New Roman" w:hAnsi="Times New Roman"/>
          <w:sz w:val="24"/>
        </w:rPr>
        <w:t xml:space="preserve"> a </w:t>
      </w:r>
      <w:r>
        <w:rPr>
          <w:rFonts w:ascii="Times New Roman" w:hAnsi="Times New Roman"/>
          <w:sz w:val="24"/>
        </w:rPr>
        <w:t>podle nové protikrizové právní úpravy není zaměstnavatel povinen finanční náhradu za dovolenou</w:t>
      </w:r>
      <w:r w:rsidR="0051719E">
        <w:rPr>
          <w:rFonts w:ascii="Times New Roman" w:hAnsi="Times New Roman"/>
          <w:sz w:val="24"/>
        </w:rPr>
        <w:t xml:space="preserve"> v </w:t>
      </w:r>
      <w:r>
        <w:rPr>
          <w:rFonts w:ascii="Times New Roman" w:hAnsi="Times New Roman"/>
          <w:sz w:val="24"/>
        </w:rPr>
        <w:t>případě propuštění za hrubé porušení pracovní kázně platit.</w:t>
      </w:r>
    </w:p>
    <w:p w14:paraId="2487E1E9" w14:textId="77777777" w:rsidR="00210F88" w:rsidRPr="00BC2D8C" w:rsidRDefault="00210F88" w:rsidP="00210F88">
      <w:pPr>
        <w:jc w:val="both"/>
        <w:rPr>
          <w:rFonts w:ascii="Times New Roman" w:hAnsi="Times New Roman" w:cs="Times New Roman"/>
          <w:sz w:val="24"/>
          <w:szCs w:val="24"/>
        </w:rPr>
      </w:pPr>
    </w:p>
    <w:p w14:paraId="0BF25BB9" w14:textId="77777777" w:rsidR="00210F88" w:rsidRPr="00EC2AB4" w:rsidRDefault="00210F88" w:rsidP="00EC2AB4">
      <w:pPr>
        <w:rPr>
          <w:rFonts w:ascii="Times New Roman" w:hAnsi="Times New Roman" w:cs="Times New Roman"/>
          <w:b/>
          <w:bCs/>
          <w:color w:val="000000"/>
          <w:sz w:val="24"/>
          <w:szCs w:val="24"/>
        </w:rPr>
      </w:pPr>
      <w:r w:rsidRPr="00EC2AB4">
        <w:rPr>
          <w:rFonts w:ascii="Times New Roman" w:hAnsi="Times New Roman"/>
          <w:b/>
          <w:color w:val="000000"/>
          <w:sz w:val="24"/>
        </w:rPr>
        <w:t>Použitelná ustanovení</w:t>
      </w:r>
    </w:p>
    <w:p w14:paraId="4799F738" w14:textId="67579E22" w:rsidR="00E920AA" w:rsidRPr="00E920AA" w:rsidRDefault="00210F88" w:rsidP="00E920AA">
      <w:pPr>
        <w:pStyle w:val="Odstavecseseznamem"/>
        <w:numPr>
          <w:ilvl w:val="0"/>
          <w:numId w:val="10"/>
        </w:numPr>
        <w:rPr>
          <w:rFonts w:ascii="Times New Roman" w:hAnsi="Times New Roman" w:cs="Times New Roman"/>
          <w:sz w:val="24"/>
          <w:szCs w:val="24"/>
        </w:rPr>
      </w:pPr>
      <w:r w:rsidRPr="00E920AA">
        <w:rPr>
          <w:rFonts w:ascii="Times New Roman" w:hAnsi="Times New Roman"/>
          <w:sz w:val="24"/>
        </w:rPr>
        <w:t>Články 31</w:t>
      </w:r>
      <w:r w:rsidR="00E920AA">
        <w:rPr>
          <w:rFonts w:ascii="Times New Roman" w:hAnsi="Times New Roman"/>
          <w:sz w:val="24"/>
        </w:rPr>
        <w:t xml:space="preserve">: </w:t>
      </w:r>
      <w:r w:rsidR="00585DDC">
        <w:rPr>
          <w:rFonts w:ascii="Times New Roman" w:hAnsi="Times New Roman"/>
          <w:sz w:val="24"/>
        </w:rPr>
        <w:t>P</w:t>
      </w:r>
      <w:r w:rsidR="00E920AA">
        <w:rPr>
          <w:rFonts w:ascii="Times New Roman" w:hAnsi="Times New Roman"/>
          <w:sz w:val="24"/>
        </w:rPr>
        <w:t xml:space="preserve">rávo všech pracovníků na každoroční </w:t>
      </w:r>
      <w:r w:rsidR="00DF5B73">
        <w:rPr>
          <w:rFonts w:ascii="Times New Roman" w:hAnsi="Times New Roman"/>
          <w:sz w:val="24"/>
        </w:rPr>
        <w:t xml:space="preserve">placenou </w:t>
      </w:r>
      <w:r w:rsidR="00E920AA">
        <w:rPr>
          <w:rFonts w:ascii="Times New Roman" w:hAnsi="Times New Roman"/>
          <w:sz w:val="24"/>
        </w:rPr>
        <w:t>dovolenou</w:t>
      </w:r>
    </w:p>
    <w:p w14:paraId="6BB584E6" w14:textId="799A79B4" w:rsidR="00210F88" w:rsidRPr="00E920AA" w:rsidRDefault="00E920AA" w:rsidP="00E920AA">
      <w:pPr>
        <w:pStyle w:val="Odstavecseseznamem"/>
        <w:numPr>
          <w:ilvl w:val="0"/>
          <w:numId w:val="10"/>
        </w:numPr>
        <w:rPr>
          <w:rFonts w:ascii="Times New Roman" w:hAnsi="Times New Roman" w:cs="Times New Roman"/>
          <w:sz w:val="24"/>
          <w:szCs w:val="24"/>
        </w:rPr>
      </w:pPr>
      <w:r>
        <w:rPr>
          <w:rFonts w:ascii="Times New Roman" w:hAnsi="Times New Roman"/>
          <w:sz w:val="24"/>
        </w:rPr>
        <w:t>Článek</w:t>
      </w:r>
      <w:r w:rsidR="0051719E" w:rsidRPr="00E920AA">
        <w:rPr>
          <w:rFonts w:ascii="Times New Roman" w:hAnsi="Times New Roman"/>
          <w:sz w:val="24"/>
        </w:rPr>
        <w:t> </w:t>
      </w:r>
      <w:r w:rsidR="00210F88" w:rsidRPr="00E920AA">
        <w:rPr>
          <w:rFonts w:ascii="Times New Roman" w:hAnsi="Times New Roman"/>
          <w:sz w:val="24"/>
        </w:rPr>
        <w:t>51 Listiny</w:t>
      </w:r>
      <w:r>
        <w:rPr>
          <w:rFonts w:ascii="Times New Roman" w:hAnsi="Times New Roman"/>
          <w:sz w:val="24"/>
        </w:rPr>
        <w:t xml:space="preserve">: </w:t>
      </w:r>
      <w:r w:rsidR="00585DDC">
        <w:rPr>
          <w:rFonts w:ascii="Times New Roman" w:hAnsi="Times New Roman"/>
          <w:sz w:val="24"/>
        </w:rPr>
        <w:t>Oblast působnosti Listiny</w:t>
      </w:r>
    </w:p>
    <w:p w14:paraId="2DB84A57" w14:textId="77777777" w:rsidR="00210F88" w:rsidRPr="00E920AA" w:rsidRDefault="00210F88" w:rsidP="00E920AA">
      <w:pPr>
        <w:pStyle w:val="Odstavecseseznamem"/>
        <w:numPr>
          <w:ilvl w:val="0"/>
          <w:numId w:val="10"/>
        </w:numPr>
        <w:jc w:val="both"/>
        <w:rPr>
          <w:rFonts w:ascii="Times New Roman" w:hAnsi="Times New Roman" w:cs="Times New Roman"/>
          <w:sz w:val="24"/>
          <w:szCs w:val="24"/>
        </w:rPr>
      </w:pPr>
      <w:r w:rsidRPr="00E920AA">
        <w:rPr>
          <w:rFonts w:ascii="Times New Roman" w:hAnsi="Times New Roman"/>
          <w:sz w:val="24"/>
        </w:rPr>
        <w:t>Směrnice Evropského parlamentu</w:t>
      </w:r>
      <w:r w:rsidR="0051719E" w:rsidRPr="00E920AA">
        <w:rPr>
          <w:rFonts w:ascii="Times New Roman" w:hAnsi="Times New Roman"/>
          <w:sz w:val="24"/>
        </w:rPr>
        <w:t xml:space="preserve"> a </w:t>
      </w:r>
      <w:r w:rsidRPr="00E920AA">
        <w:rPr>
          <w:rFonts w:ascii="Times New Roman" w:hAnsi="Times New Roman"/>
          <w:sz w:val="24"/>
        </w:rPr>
        <w:t>Rady 2003/88/ES ze dne 4. listopadu 2003</w:t>
      </w:r>
      <w:r w:rsidR="0051719E" w:rsidRPr="00E920AA">
        <w:rPr>
          <w:rFonts w:ascii="Times New Roman" w:hAnsi="Times New Roman"/>
          <w:sz w:val="24"/>
        </w:rPr>
        <w:t xml:space="preserve"> o </w:t>
      </w:r>
      <w:r w:rsidRPr="00E920AA">
        <w:rPr>
          <w:rFonts w:ascii="Times New Roman" w:hAnsi="Times New Roman"/>
          <w:sz w:val="24"/>
        </w:rPr>
        <w:t>některých aspektech úpravy pracovní doby, článek 7:</w:t>
      </w:r>
    </w:p>
    <w:p w14:paraId="1208BCE8" w14:textId="77777777" w:rsidR="00210F88" w:rsidRPr="00746C7A" w:rsidRDefault="00210F88" w:rsidP="006E636A">
      <w:pPr>
        <w:ind w:left="708"/>
        <w:jc w:val="both"/>
        <w:rPr>
          <w:rFonts w:ascii="Times New Roman" w:hAnsi="Times New Roman" w:cs="Times New Roman"/>
          <w:i/>
          <w:iCs/>
          <w:sz w:val="24"/>
          <w:szCs w:val="24"/>
        </w:rPr>
      </w:pPr>
      <w:r w:rsidRPr="00746C7A">
        <w:rPr>
          <w:rFonts w:ascii="Times New Roman" w:hAnsi="Times New Roman"/>
          <w:i/>
          <w:iCs/>
          <w:sz w:val="24"/>
        </w:rPr>
        <w:t>Dovolená za kalendářní rok</w:t>
      </w:r>
    </w:p>
    <w:p w14:paraId="7443C6D4" w14:textId="77777777" w:rsidR="00210F88" w:rsidRPr="00746C7A" w:rsidRDefault="00210F88" w:rsidP="006E636A">
      <w:pPr>
        <w:ind w:left="708"/>
        <w:jc w:val="both"/>
        <w:rPr>
          <w:rFonts w:ascii="Times New Roman" w:hAnsi="Times New Roman" w:cs="Times New Roman"/>
          <w:i/>
          <w:iCs/>
          <w:sz w:val="24"/>
          <w:szCs w:val="24"/>
        </w:rPr>
      </w:pPr>
      <w:r w:rsidRPr="00746C7A">
        <w:rPr>
          <w:rFonts w:ascii="Times New Roman" w:hAnsi="Times New Roman"/>
          <w:i/>
          <w:iCs/>
          <w:sz w:val="24"/>
        </w:rPr>
        <w:t>1. Členské státy přijmou nezbytná opatření, aby měl každý pracovník nárok na placenou dovolenou za kalendářní rok</w:t>
      </w:r>
      <w:r w:rsidR="0051719E" w:rsidRPr="00746C7A">
        <w:rPr>
          <w:rFonts w:ascii="Times New Roman" w:hAnsi="Times New Roman"/>
          <w:i/>
          <w:iCs/>
          <w:sz w:val="24"/>
        </w:rPr>
        <w:t xml:space="preserve"> v </w:t>
      </w:r>
      <w:r w:rsidRPr="00746C7A">
        <w:rPr>
          <w:rFonts w:ascii="Times New Roman" w:hAnsi="Times New Roman"/>
          <w:i/>
          <w:iCs/>
          <w:sz w:val="24"/>
        </w:rPr>
        <w:t>trvání nejméně čtyř týdnů</w:t>
      </w:r>
      <w:r w:rsidR="0051719E" w:rsidRPr="00746C7A">
        <w:rPr>
          <w:rFonts w:ascii="Times New Roman" w:hAnsi="Times New Roman"/>
          <w:i/>
          <w:iCs/>
          <w:sz w:val="24"/>
        </w:rPr>
        <w:t xml:space="preserve"> v </w:t>
      </w:r>
      <w:r w:rsidRPr="00746C7A">
        <w:rPr>
          <w:rFonts w:ascii="Times New Roman" w:hAnsi="Times New Roman"/>
          <w:i/>
          <w:iCs/>
          <w:sz w:val="24"/>
        </w:rPr>
        <w:t>souladu</w:t>
      </w:r>
      <w:r w:rsidR="0051719E" w:rsidRPr="00746C7A">
        <w:rPr>
          <w:rFonts w:ascii="Times New Roman" w:hAnsi="Times New Roman"/>
          <w:i/>
          <w:iCs/>
          <w:sz w:val="24"/>
        </w:rPr>
        <w:t xml:space="preserve"> s </w:t>
      </w:r>
      <w:r w:rsidRPr="00746C7A">
        <w:rPr>
          <w:rFonts w:ascii="Times New Roman" w:hAnsi="Times New Roman"/>
          <w:i/>
          <w:iCs/>
          <w:sz w:val="24"/>
        </w:rPr>
        <w:t>podmínkami pro získání</w:t>
      </w:r>
      <w:r w:rsidR="0051719E" w:rsidRPr="00746C7A">
        <w:rPr>
          <w:rFonts w:ascii="Times New Roman" w:hAnsi="Times New Roman"/>
          <w:i/>
          <w:iCs/>
          <w:sz w:val="24"/>
        </w:rPr>
        <w:t xml:space="preserve"> a </w:t>
      </w:r>
      <w:r w:rsidRPr="00746C7A">
        <w:rPr>
          <w:rFonts w:ascii="Times New Roman" w:hAnsi="Times New Roman"/>
          <w:i/>
          <w:iCs/>
          <w:sz w:val="24"/>
        </w:rPr>
        <w:t>přiznávání této dovolené stanovenými vnitrostátními právními předpisy nebo zvyklostmi.</w:t>
      </w:r>
    </w:p>
    <w:p w14:paraId="672F95D8" w14:textId="77777777" w:rsidR="00210F88" w:rsidRPr="00746C7A" w:rsidRDefault="00210F88" w:rsidP="006E636A">
      <w:pPr>
        <w:ind w:left="708"/>
        <w:jc w:val="both"/>
        <w:rPr>
          <w:rFonts w:ascii="Times New Roman" w:hAnsi="Times New Roman" w:cs="Times New Roman"/>
          <w:i/>
          <w:iCs/>
          <w:sz w:val="24"/>
          <w:szCs w:val="24"/>
        </w:rPr>
      </w:pPr>
      <w:r w:rsidRPr="00746C7A">
        <w:rPr>
          <w:rFonts w:ascii="Times New Roman" w:hAnsi="Times New Roman"/>
          <w:i/>
          <w:iCs/>
          <w:sz w:val="24"/>
        </w:rPr>
        <w:t>2. Minimální dobu placené dovolené za kalendářní rok nelze nahradit finanční náhradou,</w:t>
      </w:r>
      <w:r w:rsidR="0051719E" w:rsidRPr="00746C7A">
        <w:rPr>
          <w:rFonts w:ascii="Times New Roman" w:hAnsi="Times New Roman"/>
          <w:i/>
          <w:iCs/>
          <w:sz w:val="24"/>
        </w:rPr>
        <w:t xml:space="preserve"> s </w:t>
      </w:r>
      <w:r w:rsidRPr="00746C7A">
        <w:rPr>
          <w:rFonts w:ascii="Times New Roman" w:hAnsi="Times New Roman"/>
          <w:i/>
          <w:iCs/>
          <w:sz w:val="24"/>
        </w:rPr>
        <w:t>výjimkou případů ukončení pracovního poměru.</w:t>
      </w:r>
    </w:p>
    <w:p w14:paraId="27946FCA" w14:textId="77777777" w:rsidR="00210F88" w:rsidRPr="00BC2D8C" w:rsidRDefault="00210F88" w:rsidP="00210F88">
      <w:pPr>
        <w:ind w:firstLine="708"/>
        <w:rPr>
          <w:rFonts w:ascii="Times New Roman" w:hAnsi="Times New Roman" w:cs="Times New Roman"/>
          <w:sz w:val="24"/>
          <w:szCs w:val="24"/>
        </w:rPr>
      </w:pPr>
    </w:p>
    <w:p w14:paraId="04915694" w14:textId="76641190" w:rsidR="00210F88" w:rsidRPr="00EC2AB4" w:rsidRDefault="00EC2AB4" w:rsidP="00EC2AB4">
      <w:pPr>
        <w:rPr>
          <w:rFonts w:ascii="Times New Roman" w:hAnsi="Times New Roman" w:cs="Times New Roman"/>
          <w:b/>
          <w:bCs/>
          <w:sz w:val="24"/>
          <w:szCs w:val="24"/>
        </w:rPr>
      </w:pPr>
      <w:r>
        <w:rPr>
          <w:rFonts w:ascii="Times New Roman" w:hAnsi="Times New Roman"/>
          <w:b/>
          <w:sz w:val="24"/>
        </w:rPr>
        <w:t>Materiály</w:t>
      </w:r>
    </w:p>
    <w:p w14:paraId="56B31619" w14:textId="6FCEEA8D" w:rsidR="006E636A" w:rsidRPr="00305C18" w:rsidRDefault="00D35672" w:rsidP="00305C18">
      <w:pPr>
        <w:pStyle w:val="Odstavecseseznamem"/>
        <w:numPr>
          <w:ilvl w:val="0"/>
          <w:numId w:val="9"/>
        </w:numPr>
        <w:rPr>
          <w:rFonts w:ascii="Times New Roman" w:hAnsi="Times New Roman" w:cs="Times New Roman"/>
          <w:sz w:val="24"/>
          <w:szCs w:val="24"/>
        </w:rPr>
      </w:pPr>
      <w:r w:rsidRPr="00305C18">
        <w:rPr>
          <w:rFonts w:ascii="Times New Roman" w:hAnsi="Times New Roman"/>
          <w:sz w:val="24"/>
        </w:rPr>
        <w:t>Shrnutí</w:t>
      </w:r>
      <w:r w:rsidR="0051719E" w:rsidRPr="00305C18">
        <w:rPr>
          <w:rFonts w:ascii="Times New Roman" w:hAnsi="Times New Roman"/>
          <w:sz w:val="24"/>
        </w:rPr>
        <w:t xml:space="preserve"> k </w:t>
      </w:r>
      <w:r w:rsidR="00210F88" w:rsidRPr="00305C18">
        <w:rPr>
          <w:rFonts w:ascii="Times New Roman" w:hAnsi="Times New Roman"/>
          <w:sz w:val="24"/>
        </w:rPr>
        <w:t>článku 31</w:t>
      </w:r>
    </w:p>
    <w:p w14:paraId="2F63AEF9" w14:textId="715467DA" w:rsidR="00210F88" w:rsidRPr="00E77476" w:rsidRDefault="00305C18" w:rsidP="00305C18">
      <w:pPr>
        <w:pStyle w:val="Odstavecseseznamem"/>
        <w:numPr>
          <w:ilvl w:val="0"/>
          <w:numId w:val="9"/>
        </w:numPr>
        <w:rPr>
          <w:rFonts w:ascii="Times New Roman" w:hAnsi="Times New Roman" w:cs="Times New Roman"/>
          <w:sz w:val="24"/>
          <w:szCs w:val="24"/>
        </w:rPr>
      </w:pPr>
      <w:r>
        <w:rPr>
          <w:rFonts w:ascii="Times New Roman" w:hAnsi="Times New Roman"/>
          <w:sz w:val="24"/>
        </w:rPr>
        <w:t>Příručka k Listině základních práv EU</w:t>
      </w:r>
    </w:p>
    <w:p w14:paraId="190FC286" w14:textId="77777777" w:rsidR="00467FAF" w:rsidRDefault="00467FAF" w:rsidP="00E77476">
      <w:pPr>
        <w:spacing w:after="120" w:line="276" w:lineRule="auto"/>
        <w:jc w:val="both"/>
        <w:rPr>
          <w:rFonts w:ascii="Times New Roman" w:hAnsi="Times New Roman"/>
          <w:b/>
          <w:bCs/>
          <w:sz w:val="24"/>
        </w:rPr>
      </w:pPr>
    </w:p>
    <w:p w14:paraId="415C61C3" w14:textId="77777777" w:rsidR="002F5E28" w:rsidRDefault="002F5E28" w:rsidP="00E77476">
      <w:pPr>
        <w:spacing w:after="120" w:line="276" w:lineRule="auto"/>
        <w:jc w:val="both"/>
        <w:rPr>
          <w:rFonts w:ascii="Times New Roman" w:hAnsi="Times New Roman"/>
          <w:b/>
          <w:bCs/>
          <w:sz w:val="24"/>
        </w:rPr>
      </w:pPr>
    </w:p>
    <w:p w14:paraId="1E76DE68" w14:textId="77777777" w:rsidR="002F5E28" w:rsidRDefault="002F5E28" w:rsidP="00E77476">
      <w:pPr>
        <w:spacing w:after="120" w:line="276" w:lineRule="auto"/>
        <w:jc w:val="both"/>
        <w:rPr>
          <w:rFonts w:ascii="Times New Roman" w:hAnsi="Times New Roman"/>
          <w:b/>
          <w:bCs/>
          <w:sz w:val="24"/>
        </w:rPr>
      </w:pPr>
    </w:p>
    <w:p w14:paraId="7B2D71F1" w14:textId="77777777" w:rsidR="002F5E28" w:rsidRDefault="002F5E28" w:rsidP="00E77476">
      <w:pPr>
        <w:spacing w:after="120" w:line="276" w:lineRule="auto"/>
        <w:jc w:val="both"/>
        <w:rPr>
          <w:rFonts w:ascii="Times New Roman" w:hAnsi="Times New Roman"/>
          <w:b/>
          <w:bCs/>
          <w:sz w:val="24"/>
        </w:rPr>
      </w:pPr>
    </w:p>
    <w:p w14:paraId="41C4BCA6" w14:textId="19791973" w:rsidR="00467FAF" w:rsidRPr="002F5E28" w:rsidRDefault="00E77476" w:rsidP="002F5E28">
      <w:pPr>
        <w:spacing w:after="120" w:line="276" w:lineRule="auto"/>
        <w:jc w:val="both"/>
        <w:rPr>
          <w:rStyle w:val="Hypertextovodkaz"/>
          <w:rFonts w:ascii="Times New Roman" w:hAnsi="Times New Roman" w:cs="Times New Roman"/>
          <w:b/>
          <w:bCs/>
          <w:color w:val="auto"/>
          <w:sz w:val="24"/>
          <w:szCs w:val="24"/>
          <w:u w:val="none"/>
        </w:rPr>
      </w:pPr>
      <w:r w:rsidRPr="007A2107">
        <w:rPr>
          <w:rFonts w:ascii="Times New Roman" w:hAnsi="Times New Roman"/>
          <w:b/>
          <w:bCs/>
          <w:sz w:val="24"/>
        </w:rPr>
        <w:t>Klíčová judikatura</w:t>
      </w:r>
    </w:p>
    <w:p w14:paraId="1E3C63E5" w14:textId="05B497BE" w:rsidR="00210F88" w:rsidRPr="003302DA" w:rsidRDefault="00210F88" w:rsidP="0089327F">
      <w:pPr>
        <w:jc w:val="both"/>
        <w:rPr>
          <w:rStyle w:val="Hypertextovodkaz"/>
          <w:rFonts w:ascii="Times New Roman" w:hAnsi="Times New Roman"/>
          <w:b/>
          <w:bCs/>
          <w:sz w:val="24"/>
        </w:rPr>
      </w:pPr>
      <w:hyperlink r:id="rId17" w:history="1">
        <w:r w:rsidRPr="003C4298">
          <w:rPr>
            <w:rStyle w:val="Hypertextovodkaz"/>
            <w:rFonts w:ascii="Times New Roman" w:hAnsi="Times New Roman"/>
            <w:b/>
            <w:bCs/>
            <w:sz w:val="24"/>
          </w:rPr>
          <w:t xml:space="preserve">Rozsudek Soudního dvora (Velkého senátu) ze dne 18. ledna 2024, </w:t>
        </w:r>
        <w:r w:rsidRPr="003C4298">
          <w:rPr>
            <w:rStyle w:val="Hypertextovodkaz"/>
            <w:rFonts w:ascii="Times New Roman" w:hAnsi="Times New Roman"/>
            <w:b/>
            <w:bCs/>
            <w:i/>
            <w:iCs/>
            <w:sz w:val="24"/>
          </w:rPr>
          <w:t>BU v. Commune Di Copertino</w:t>
        </w:r>
        <w:r w:rsidRPr="003C4298">
          <w:rPr>
            <w:rStyle w:val="Hypertextovodkaz"/>
            <w:rFonts w:ascii="Times New Roman" w:hAnsi="Times New Roman"/>
            <w:b/>
            <w:bCs/>
            <w:sz w:val="24"/>
          </w:rPr>
          <w:t>, C-218/22</w:t>
        </w:r>
      </w:hyperlink>
    </w:p>
    <w:p w14:paraId="0DD10F14"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Je třeba připomenout, že pokud pracovní poměr skončil, dovolenou za kalendářní rok, na kterou má pracovník nárok, již nelze čerpat. Aby se předešlo tomu, že kvůli této nemožnosti nebude pracovník moci tohoto nároku, byť</w:t>
      </w:r>
      <w:r w:rsidR="0051719E">
        <w:rPr>
          <w:rFonts w:ascii="Times New Roman" w:hAnsi="Times New Roman"/>
          <w:sz w:val="24"/>
        </w:rPr>
        <w:t xml:space="preserve"> v </w:t>
      </w:r>
      <w:r>
        <w:rPr>
          <w:rFonts w:ascii="Times New Roman" w:hAnsi="Times New Roman"/>
          <w:sz w:val="24"/>
        </w:rPr>
        <w:t xml:space="preserve">peněžité formě, vůbec využít, stanoví </w:t>
      </w:r>
      <w:r w:rsidR="0051719E">
        <w:rPr>
          <w:rFonts w:ascii="Times New Roman" w:hAnsi="Times New Roman"/>
          <w:sz w:val="24"/>
        </w:rPr>
        <w:t>čl. </w:t>
      </w:r>
      <w:r>
        <w:rPr>
          <w:rFonts w:ascii="Times New Roman" w:hAnsi="Times New Roman"/>
          <w:sz w:val="24"/>
        </w:rPr>
        <w:t xml:space="preserve">7 odst. 2 směrnice 2003/88, že pracovník má nárok na finanční náhradu za nevyčerpané dny dovolené za kalendářní rok. </w:t>
      </w:r>
    </w:p>
    <w:p w14:paraId="283C1F4D"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 xml:space="preserve">Jak Soudní dvůr rozhodl, </w:t>
      </w:r>
      <w:r w:rsidR="0051719E">
        <w:rPr>
          <w:rFonts w:ascii="Times New Roman" w:hAnsi="Times New Roman"/>
          <w:sz w:val="24"/>
        </w:rPr>
        <w:t>čl. </w:t>
      </w:r>
      <w:r>
        <w:rPr>
          <w:rFonts w:ascii="Times New Roman" w:hAnsi="Times New Roman"/>
          <w:sz w:val="24"/>
        </w:rPr>
        <w:t>7 odst. 2 směrnice 2003/88 nestanoví pro vznik nároku na finanční náhradu jinou podmínku než tu, aby pracovní poměr skončil</w:t>
      </w:r>
      <w:r w:rsidR="0051719E">
        <w:rPr>
          <w:rFonts w:ascii="Times New Roman" w:hAnsi="Times New Roman"/>
          <w:sz w:val="24"/>
        </w:rPr>
        <w:t xml:space="preserve"> a </w:t>
      </w:r>
      <w:r>
        <w:rPr>
          <w:rFonts w:ascii="Times New Roman" w:hAnsi="Times New Roman"/>
          <w:sz w:val="24"/>
        </w:rPr>
        <w:t>pracovník nevyčerpal všechnu dovolenou za kalendářní rok, na kterou měl nárok ke dni ukončení tohoto poměru.</w:t>
      </w:r>
    </w:p>
    <w:p w14:paraId="258986D2"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Z toho</w:t>
      </w:r>
      <w:r w:rsidR="0051719E">
        <w:rPr>
          <w:rFonts w:ascii="Times New Roman" w:hAnsi="Times New Roman"/>
          <w:sz w:val="24"/>
        </w:rPr>
        <w:t xml:space="preserve"> v </w:t>
      </w:r>
      <w:r>
        <w:rPr>
          <w:rFonts w:ascii="Times New Roman" w:hAnsi="Times New Roman"/>
          <w:sz w:val="24"/>
        </w:rPr>
        <w:t>souladu</w:t>
      </w:r>
      <w:r w:rsidR="0051719E">
        <w:rPr>
          <w:rFonts w:ascii="Times New Roman" w:hAnsi="Times New Roman"/>
          <w:sz w:val="24"/>
        </w:rPr>
        <w:t xml:space="preserve"> s čl. </w:t>
      </w:r>
      <w:r>
        <w:rPr>
          <w:rFonts w:ascii="Times New Roman" w:hAnsi="Times New Roman"/>
          <w:sz w:val="24"/>
        </w:rPr>
        <w:t>7 odst. 2 směrnice 2003/88 vyplývá, že pracovník, který do skončení svého pracovního poměru nemohl vyčerpat celý nárok na placenou dovolenou za kalendářní rok, má nárok na finanční náhradu za nevyčerpanou placenou dovolenou za kalendářní rok Důvod skončení pracovního poměru je</w:t>
      </w:r>
      <w:r w:rsidR="0051719E">
        <w:rPr>
          <w:rFonts w:ascii="Times New Roman" w:hAnsi="Times New Roman"/>
          <w:sz w:val="24"/>
        </w:rPr>
        <w:t xml:space="preserve"> v </w:t>
      </w:r>
      <w:r>
        <w:rPr>
          <w:rFonts w:ascii="Times New Roman" w:hAnsi="Times New Roman"/>
          <w:sz w:val="24"/>
        </w:rPr>
        <w:t xml:space="preserve">tomto ohledu irelevantní. </w:t>
      </w:r>
    </w:p>
    <w:p w14:paraId="2805E275" w14:textId="77777777" w:rsidR="00210F88" w:rsidRDefault="00210F88" w:rsidP="006E636A">
      <w:pPr>
        <w:ind w:left="708"/>
        <w:jc w:val="both"/>
        <w:rPr>
          <w:rFonts w:ascii="Times New Roman" w:hAnsi="Times New Roman"/>
          <w:b/>
          <w:bCs/>
          <w:sz w:val="24"/>
        </w:rPr>
      </w:pPr>
      <w:r w:rsidRPr="00EF7D00">
        <w:rPr>
          <w:rFonts w:ascii="Times New Roman" w:hAnsi="Times New Roman"/>
          <w:b/>
          <w:bCs/>
          <w:sz w:val="24"/>
        </w:rPr>
        <w:t>Uvedené ustanovení brání právním předpisům nebo vnitrostátní praxi, podle nichž se pracovníkovi, který nemohl vyčerpat celou dovolenou za kalendářní rok před ukončením pracovního poměru zejména proto, že byl během celého referenčního období nebo doby převoditelnosti nebo jejich části</w:t>
      </w:r>
      <w:r w:rsidR="0051719E" w:rsidRPr="00EF7D00">
        <w:rPr>
          <w:rFonts w:ascii="Times New Roman" w:hAnsi="Times New Roman"/>
          <w:b/>
          <w:bCs/>
          <w:sz w:val="24"/>
        </w:rPr>
        <w:t xml:space="preserve"> v </w:t>
      </w:r>
      <w:r w:rsidRPr="00EF7D00">
        <w:rPr>
          <w:rFonts w:ascii="Times New Roman" w:hAnsi="Times New Roman"/>
          <w:b/>
          <w:bCs/>
          <w:sz w:val="24"/>
        </w:rPr>
        <w:t xml:space="preserve">pracovní neschopnosti, při ukončení pracovního poměru nevyplácí finanční náhrada za nevyčerpanou placenou dovolenou za kalendářní rok </w:t>
      </w:r>
    </w:p>
    <w:p w14:paraId="1B5ACC24" w14:textId="77777777" w:rsidR="00EF7D00" w:rsidRPr="003C4298" w:rsidRDefault="00EF7D00" w:rsidP="003C4298">
      <w:pPr>
        <w:jc w:val="both"/>
        <w:rPr>
          <w:rStyle w:val="Hypertextovodkaz"/>
        </w:rPr>
      </w:pPr>
    </w:p>
    <w:p w14:paraId="04CD76E1" w14:textId="6B168803" w:rsidR="00210F88" w:rsidRPr="003C4298" w:rsidRDefault="00210F88" w:rsidP="006E636A">
      <w:pPr>
        <w:jc w:val="both"/>
        <w:rPr>
          <w:rStyle w:val="Hypertextovodkaz"/>
          <w:rFonts w:ascii="Times New Roman" w:hAnsi="Times New Roman"/>
          <w:b/>
          <w:bCs/>
          <w:sz w:val="24"/>
        </w:rPr>
      </w:pPr>
      <w:hyperlink r:id="rId18" w:history="1">
        <w:r w:rsidRPr="00BB5691">
          <w:rPr>
            <w:rStyle w:val="Hypertextovodkaz"/>
            <w:rFonts w:ascii="Times New Roman" w:hAnsi="Times New Roman"/>
            <w:b/>
            <w:bCs/>
            <w:sz w:val="24"/>
          </w:rPr>
          <w:t xml:space="preserve">Rozsudek Soudního dvora (Velkého senátu) ze dne 6. listopadu 2018, </w:t>
        </w:r>
        <w:r w:rsidRPr="00BB5691">
          <w:rPr>
            <w:rStyle w:val="Hypertextovodkaz"/>
            <w:rFonts w:ascii="Times New Roman" w:hAnsi="Times New Roman"/>
            <w:b/>
            <w:bCs/>
            <w:i/>
            <w:iCs/>
            <w:sz w:val="24"/>
          </w:rPr>
          <w:t>Max-Planck-Gesellschaft zur Förderung der Wissenschaften e.V. v. Tetsuji Shimizu</w:t>
        </w:r>
        <w:r w:rsidRPr="00BB5691">
          <w:rPr>
            <w:rStyle w:val="Hypertextovodkaz"/>
            <w:rFonts w:ascii="Times New Roman" w:hAnsi="Times New Roman"/>
            <w:b/>
            <w:bCs/>
            <w:sz w:val="24"/>
          </w:rPr>
          <w:t>, C-684/16, ECLI:EU: C:2018:874</w:t>
        </w:r>
      </w:hyperlink>
      <w:r w:rsidRPr="003C4298">
        <w:rPr>
          <w:rStyle w:val="Hypertextovodkaz"/>
          <w:rFonts w:ascii="Times New Roman" w:hAnsi="Times New Roman"/>
          <w:b/>
          <w:bCs/>
          <w:sz w:val="24"/>
        </w:rPr>
        <w:t>.</w:t>
      </w:r>
    </w:p>
    <w:p w14:paraId="59563715"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Právo každého pracovníka na placenou dovolenou za kalendářní rok zakotvené</w:t>
      </w:r>
      <w:r w:rsidR="0051719E">
        <w:rPr>
          <w:rFonts w:ascii="Times New Roman" w:hAnsi="Times New Roman"/>
          <w:sz w:val="24"/>
        </w:rPr>
        <w:t xml:space="preserve"> v čl. </w:t>
      </w:r>
      <w:r>
        <w:rPr>
          <w:rFonts w:ascii="Times New Roman" w:hAnsi="Times New Roman"/>
          <w:sz w:val="24"/>
        </w:rPr>
        <w:t>31 odst. 2 Listiny tedy existuje jako právo kogentní</w:t>
      </w:r>
      <w:r w:rsidR="0051719E">
        <w:rPr>
          <w:rFonts w:ascii="Times New Roman" w:hAnsi="Times New Roman"/>
          <w:sz w:val="24"/>
        </w:rPr>
        <w:t xml:space="preserve"> a </w:t>
      </w:r>
      <w:r>
        <w:rPr>
          <w:rFonts w:ascii="Times New Roman" w:hAnsi="Times New Roman"/>
          <w:sz w:val="24"/>
        </w:rPr>
        <w:t>bezpodmínečné, přičemž</w:t>
      </w:r>
      <w:r w:rsidR="0051719E">
        <w:rPr>
          <w:rFonts w:ascii="Times New Roman" w:hAnsi="Times New Roman"/>
          <w:sz w:val="24"/>
        </w:rPr>
        <w:t xml:space="preserve"> k </w:t>
      </w:r>
      <w:r>
        <w:rPr>
          <w:rFonts w:ascii="Times New Roman" w:hAnsi="Times New Roman"/>
          <w:sz w:val="24"/>
        </w:rPr>
        <w:t>jeho bezpodmínečnosti není třeba, aby bylo konkretizováno</w:t>
      </w:r>
      <w:r w:rsidR="0051719E">
        <w:rPr>
          <w:rFonts w:ascii="Times New Roman" w:hAnsi="Times New Roman"/>
          <w:sz w:val="24"/>
        </w:rPr>
        <w:t xml:space="preserve"> v </w:t>
      </w:r>
      <w:r>
        <w:rPr>
          <w:rFonts w:ascii="Times New Roman" w:hAnsi="Times New Roman"/>
          <w:sz w:val="24"/>
        </w:rPr>
        <w:t>ustanoveních unijního či vnitrostátního práva, která pouze upřesňují konkrétní délku placené dovolené za kalendářní rok</w:t>
      </w:r>
      <w:r w:rsidR="0051719E">
        <w:rPr>
          <w:rFonts w:ascii="Times New Roman" w:hAnsi="Times New Roman"/>
          <w:sz w:val="24"/>
        </w:rPr>
        <w:t xml:space="preserve"> a </w:t>
      </w:r>
      <w:r>
        <w:rPr>
          <w:rFonts w:ascii="Times New Roman" w:hAnsi="Times New Roman"/>
          <w:sz w:val="24"/>
        </w:rPr>
        <w:t>případně určité podmínky pro její čerpání.</w:t>
      </w:r>
      <w:r w:rsidR="0051719E">
        <w:rPr>
          <w:rFonts w:ascii="Times New Roman" w:hAnsi="Times New Roman"/>
          <w:sz w:val="24"/>
        </w:rPr>
        <w:t xml:space="preserve"> Z </w:t>
      </w:r>
      <w:r>
        <w:rPr>
          <w:rFonts w:ascii="Times New Roman" w:hAnsi="Times New Roman"/>
          <w:sz w:val="24"/>
        </w:rPr>
        <w:t>toho vyplývá, že uvedené ustanovení samo</w:t>
      </w:r>
      <w:r w:rsidR="0051719E">
        <w:rPr>
          <w:rFonts w:ascii="Times New Roman" w:hAnsi="Times New Roman"/>
          <w:sz w:val="24"/>
        </w:rPr>
        <w:t xml:space="preserve"> o </w:t>
      </w:r>
      <w:r>
        <w:rPr>
          <w:rFonts w:ascii="Times New Roman" w:hAnsi="Times New Roman"/>
          <w:sz w:val="24"/>
        </w:rPr>
        <w:t>sobě zakládá pracovníkům právo uplatnitelné jako takové ve sporu proti jejich zaměstnavateli</w:t>
      </w:r>
      <w:r w:rsidR="0051719E">
        <w:rPr>
          <w:rFonts w:ascii="Times New Roman" w:hAnsi="Times New Roman"/>
          <w:sz w:val="24"/>
        </w:rPr>
        <w:t xml:space="preserve"> v </w:t>
      </w:r>
      <w:r>
        <w:rPr>
          <w:rFonts w:ascii="Times New Roman" w:hAnsi="Times New Roman"/>
          <w:sz w:val="24"/>
        </w:rPr>
        <w:t>situaci, na kterou se vztahuje unijní právo,</w:t>
      </w:r>
      <w:r w:rsidR="0051719E">
        <w:rPr>
          <w:rFonts w:ascii="Times New Roman" w:hAnsi="Times New Roman"/>
          <w:sz w:val="24"/>
        </w:rPr>
        <w:t xml:space="preserve"> a </w:t>
      </w:r>
      <w:r>
        <w:rPr>
          <w:rFonts w:ascii="Times New Roman" w:hAnsi="Times New Roman"/>
          <w:sz w:val="24"/>
        </w:rPr>
        <w:t>tudíž</w:t>
      </w:r>
      <w:r w:rsidR="0051719E">
        <w:rPr>
          <w:rFonts w:ascii="Times New Roman" w:hAnsi="Times New Roman"/>
          <w:sz w:val="24"/>
        </w:rPr>
        <w:t xml:space="preserve"> i </w:t>
      </w:r>
      <w:r>
        <w:rPr>
          <w:rFonts w:ascii="Times New Roman" w:hAnsi="Times New Roman"/>
          <w:sz w:val="24"/>
        </w:rPr>
        <w:t>Listina.</w:t>
      </w:r>
    </w:p>
    <w:p w14:paraId="5B8BF3F3"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V případě, že nelze takovou vnitrostátní právní úpravu, jako je úprava dotčená ve věci původním řízení, vykládat tak, aby byl zajištěn její soulad</w:t>
      </w:r>
      <w:r w:rsidR="0051719E">
        <w:rPr>
          <w:rFonts w:ascii="Times New Roman" w:hAnsi="Times New Roman"/>
          <w:sz w:val="24"/>
        </w:rPr>
        <w:t xml:space="preserve"> s </w:t>
      </w:r>
      <w:r>
        <w:rPr>
          <w:rFonts w:ascii="Times New Roman" w:hAnsi="Times New Roman"/>
          <w:sz w:val="24"/>
        </w:rPr>
        <w:t>článkem 7 směrnice 2003/88</w:t>
      </w:r>
      <w:r w:rsidR="0051719E">
        <w:rPr>
          <w:rFonts w:ascii="Times New Roman" w:hAnsi="Times New Roman"/>
          <w:sz w:val="24"/>
        </w:rPr>
        <w:t xml:space="preserve"> a čl. </w:t>
      </w:r>
      <w:r>
        <w:rPr>
          <w:rFonts w:ascii="Times New Roman" w:hAnsi="Times New Roman"/>
          <w:sz w:val="24"/>
        </w:rPr>
        <w:t>31 odst. 2 Listiny, vyplývá</w:t>
      </w:r>
      <w:r w:rsidR="0051719E">
        <w:rPr>
          <w:rFonts w:ascii="Times New Roman" w:hAnsi="Times New Roman"/>
          <w:sz w:val="24"/>
        </w:rPr>
        <w:t xml:space="preserve"> z </w:t>
      </w:r>
      <w:r>
        <w:rPr>
          <w:rFonts w:ascii="Times New Roman" w:hAnsi="Times New Roman"/>
          <w:sz w:val="24"/>
        </w:rPr>
        <w:t>toho, že vnitrostátní soud, který rozhoduje</w:t>
      </w:r>
      <w:r w:rsidR="0051719E">
        <w:rPr>
          <w:rFonts w:ascii="Times New Roman" w:hAnsi="Times New Roman"/>
          <w:sz w:val="24"/>
        </w:rPr>
        <w:t xml:space="preserve"> o </w:t>
      </w:r>
      <w:r>
        <w:rPr>
          <w:rFonts w:ascii="Times New Roman" w:hAnsi="Times New Roman"/>
          <w:sz w:val="24"/>
        </w:rPr>
        <w:t>sporu mezi pracovníkem</w:t>
      </w:r>
      <w:r w:rsidR="0051719E">
        <w:rPr>
          <w:rFonts w:ascii="Times New Roman" w:hAnsi="Times New Roman"/>
          <w:sz w:val="24"/>
        </w:rPr>
        <w:t xml:space="preserve"> a </w:t>
      </w:r>
      <w:r>
        <w:rPr>
          <w:rFonts w:ascii="Times New Roman" w:hAnsi="Times New Roman"/>
          <w:sz w:val="24"/>
        </w:rPr>
        <w:t>jeho bývalým zaměstnavatelem, který má postavení jednotlivce, se musí zdržet aplikace uvedené vnitrostátní právní úpravu</w:t>
      </w:r>
      <w:r w:rsidR="0051719E">
        <w:rPr>
          <w:rFonts w:ascii="Times New Roman" w:hAnsi="Times New Roman"/>
          <w:sz w:val="24"/>
        </w:rPr>
        <w:t xml:space="preserve"> a </w:t>
      </w:r>
      <w:r>
        <w:rPr>
          <w:rFonts w:ascii="Times New Roman" w:hAnsi="Times New Roman"/>
          <w:sz w:val="24"/>
        </w:rPr>
        <w:t>zajistit, aby</w:t>
      </w:r>
      <w:r w:rsidR="0051719E">
        <w:rPr>
          <w:rFonts w:ascii="Times New Roman" w:hAnsi="Times New Roman"/>
          <w:sz w:val="24"/>
        </w:rPr>
        <w:t xml:space="preserve"> v </w:t>
      </w:r>
      <w:r>
        <w:rPr>
          <w:rFonts w:ascii="Times New Roman" w:hAnsi="Times New Roman"/>
          <w:sz w:val="24"/>
        </w:rPr>
        <w:t>případě, že tento zaměstnavatel není</w:t>
      </w:r>
      <w:r w:rsidR="0051719E">
        <w:rPr>
          <w:rFonts w:ascii="Times New Roman" w:hAnsi="Times New Roman"/>
          <w:sz w:val="24"/>
        </w:rPr>
        <w:t xml:space="preserve"> s </w:t>
      </w:r>
      <w:r>
        <w:rPr>
          <w:rFonts w:ascii="Times New Roman" w:hAnsi="Times New Roman"/>
          <w:sz w:val="24"/>
        </w:rPr>
        <w:t>to prokázat, že jednal</w:t>
      </w:r>
      <w:r w:rsidR="0051719E">
        <w:rPr>
          <w:rFonts w:ascii="Times New Roman" w:hAnsi="Times New Roman"/>
          <w:sz w:val="24"/>
        </w:rPr>
        <w:t xml:space="preserve"> s </w:t>
      </w:r>
      <w:r>
        <w:rPr>
          <w:rFonts w:ascii="Times New Roman" w:hAnsi="Times New Roman"/>
          <w:sz w:val="24"/>
        </w:rPr>
        <w:t xml:space="preserve">náležitou péčí tak, aby </w:t>
      </w:r>
      <w:r>
        <w:rPr>
          <w:rFonts w:ascii="Times New Roman" w:hAnsi="Times New Roman"/>
          <w:sz w:val="24"/>
        </w:rPr>
        <w:lastRenderedPageBreak/>
        <w:t>pracovník ve skutečnosti mohl čerpat placenou dovolenou za kalendářní rok, na kterou má nárok podle unijního práva, nebyl uvedenému pracovníkovi upřen nárok na takovou placenou dovolenou za kalendářní rok</w:t>
      </w:r>
      <w:r w:rsidR="0051719E">
        <w:rPr>
          <w:rFonts w:ascii="Times New Roman" w:hAnsi="Times New Roman"/>
          <w:sz w:val="24"/>
        </w:rPr>
        <w:t xml:space="preserve"> a </w:t>
      </w:r>
      <w:r>
        <w:rPr>
          <w:rFonts w:ascii="Times New Roman" w:hAnsi="Times New Roman"/>
          <w:sz w:val="24"/>
        </w:rPr>
        <w:t>v případě ukončení pracovního poměru</w:t>
      </w:r>
      <w:r w:rsidR="0051719E">
        <w:rPr>
          <w:rFonts w:ascii="Times New Roman" w:hAnsi="Times New Roman"/>
          <w:sz w:val="24"/>
        </w:rPr>
        <w:t xml:space="preserve"> s </w:t>
      </w:r>
      <w:r>
        <w:rPr>
          <w:rFonts w:ascii="Times New Roman" w:hAnsi="Times New Roman"/>
          <w:sz w:val="24"/>
        </w:rPr>
        <w:t>tím související finanční náhrada za nevyčerpanou dovolenou, kterou musí</w:t>
      </w:r>
      <w:r w:rsidR="0051719E">
        <w:rPr>
          <w:rFonts w:ascii="Times New Roman" w:hAnsi="Times New Roman"/>
          <w:sz w:val="24"/>
        </w:rPr>
        <w:t xml:space="preserve"> v </w:t>
      </w:r>
      <w:r>
        <w:rPr>
          <w:rFonts w:ascii="Times New Roman" w:hAnsi="Times New Roman"/>
          <w:sz w:val="24"/>
        </w:rPr>
        <w:t>tomto případě zaplatit přímo dotčený zaměstnavatel.</w:t>
      </w:r>
    </w:p>
    <w:p w14:paraId="231A8A85" w14:textId="77777777" w:rsidR="00210F88" w:rsidRPr="00BC2D8C" w:rsidRDefault="00210F88" w:rsidP="00210F88">
      <w:pPr>
        <w:jc w:val="both"/>
        <w:rPr>
          <w:rFonts w:ascii="Times New Roman" w:hAnsi="Times New Roman" w:cs="Times New Roman"/>
          <w:sz w:val="24"/>
          <w:szCs w:val="24"/>
        </w:rPr>
      </w:pPr>
    </w:p>
    <w:p w14:paraId="4C40D09B" w14:textId="77777777" w:rsidR="00210F88" w:rsidRPr="00742EBA" w:rsidRDefault="006E636A" w:rsidP="00210F88">
      <w:pPr>
        <w:jc w:val="both"/>
        <w:rPr>
          <w:rFonts w:ascii="Times New Roman" w:hAnsi="Times New Roman" w:cs="Times New Roman"/>
          <w:b/>
          <w:bCs/>
          <w:sz w:val="24"/>
          <w:szCs w:val="24"/>
        </w:rPr>
      </w:pPr>
      <w:r>
        <w:rPr>
          <w:rFonts w:ascii="Times New Roman" w:hAnsi="Times New Roman"/>
          <w:b/>
          <w:sz w:val="24"/>
        </w:rPr>
        <w:t>ŘEŠENÍ</w:t>
      </w:r>
    </w:p>
    <w:p w14:paraId="66528358" w14:textId="77777777" w:rsidR="001C7BAA" w:rsidRPr="001C7BAA" w:rsidRDefault="001C7BAA" w:rsidP="001C7BAA">
      <w:pPr>
        <w:rPr>
          <w:rFonts w:ascii="Times New Roman" w:hAnsi="Times New Roman" w:cs="Times New Roman"/>
          <w:b/>
          <w:bCs/>
          <w:sz w:val="24"/>
          <w:szCs w:val="24"/>
        </w:rPr>
      </w:pPr>
      <w:r w:rsidRPr="001C7BAA">
        <w:rPr>
          <w:rFonts w:ascii="Times New Roman" w:hAnsi="Times New Roman" w:cs="Times New Roman"/>
          <w:b/>
          <w:bCs/>
          <w:sz w:val="24"/>
          <w:szCs w:val="24"/>
        </w:rPr>
        <w:t>1. Právo na placenou dovolenou podle článku 31 Listiny</w:t>
      </w:r>
    </w:p>
    <w:p w14:paraId="0685B8E7" w14:textId="77777777" w:rsidR="001C7BAA" w:rsidRPr="001C7BAA" w:rsidRDefault="001C7BAA" w:rsidP="001C7BAA">
      <w:pPr>
        <w:rPr>
          <w:rFonts w:ascii="Times New Roman" w:hAnsi="Times New Roman" w:cs="Times New Roman"/>
          <w:sz w:val="24"/>
          <w:szCs w:val="24"/>
        </w:rPr>
      </w:pPr>
      <w:r w:rsidRPr="001C7BAA">
        <w:rPr>
          <w:rFonts w:ascii="Times New Roman" w:hAnsi="Times New Roman" w:cs="Times New Roman"/>
          <w:sz w:val="24"/>
          <w:szCs w:val="24"/>
        </w:rPr>
        <w:t xml:space="preserve">Článek 31 odst. 2 Listiny základních práv Evropské unie stanoví bezpodmínečné právo každého pracovníka na placenou dovolenou. Jak upřesnil </w:t>
      </w:r>
      <w:r w:rsidRPr="001C7BAA">
        <w:rPr>
          <w:rFonts w:ascii="Times New Roman" w:hAnsi="Times New Roman" w:cs="Times New Roman"/>
          <w:b/>
          <w:bCs/>
          <w:sz w:val="24"/>
          <w:szCs w:val="24"/>
        </w:rPr>
        <w:t>Soudní dvůr EU ve věci Max-Planck-Gesellschaft v. Shimizu (C-684/16)</w:t>
      </w:r>
      <w:r w:rsidRPr="001C7BAA">
        <w:rPr>
          <w:rFonts w:ascii="Times New Roman" w:hAnsi="Times New Roman" w:cs="Times New Roman"/>
          <w:sz w:val="24"/>
          <w:szCs w:val="24"/>
        </w:rPr>
        <w:t>, toto právo má závaznou povahu a nevyžaduje další vnitrostátní nebo unijní právní úpravu k tomu, aby bylo použitelné.</w:t>
      </w:r>
    </w:p>
    <w:p w14:paraId="1F590E30" w14:textId="1F21B03D" w:rsidR="001C7BAA" w:rsidRPr="001C7BAA" w:rsidRDefault="001C7BAA" w:rsidP="001C7BAA">
      <w:pPr>
        <w:rPr>
          <w:rFonts w:ascii="Times New Roman" w:hAnsi="Times New Roman" w:cs="Times New Roman"/>
          <w:sz w:val="24"/>
          <w:szCs w:val="24"/>
        </w:rPr>
      </w:pPr>
      <w:r w:rsidRPr="001C7BAA">
        <w:rPr>
          <w:rFonts w:ascii="Times New Roman" w:hAnsi="Times New Roman" w:cs="Times New Roman"/>
          <w:sz w:val="24"/>
          <w:szCs w:val="24"/>
        </w:rPr>
        <w:t>Listina zaručuje, že se pracovníci mohou tohoto práva dovolávat přímo vůči zaměstnavatelům, a to i v rámci sporů mezi soukromými subjekty, pokud situace spadá do oblasti působnosti práva EU.</w:t>
      </w:r>
    </w:p>
    <w:p w14:paraId="368205C7" w14:textId="77777777" w:rsidR="001C7BAA" w:rsidRPr="001C7BAA" w:rsidRDefault="001C7BAA" w:rsidP="001C7BAA">
      <w:pPr>
        <w:rPr>
          <w:rFonts w:ascii="Times New Roman" w:hAnsi="Times New Roman" w:cs="Times New Roman"/>
          <w:b/>
          <w:bCs/>
          <w:sz w:val="24"/>
          <w:szCs w:val="24"/>
        </w:rPr>
      </w:pPr>
      <w:r w:rsidRPr="001C7BAA">
        <w:rPr>
          <w:rFonts w:ascii="Times New Roman" w:hAnsi="Times New Roman" w:cs="Times New Roman"/>
          <w:b/>
          <w:bCs/>
          <w:sz w:val="24"/>
          <w:szCs w:val="24"/>
        </w:rPr>
        <w:t>2. Nárok na náhradu za nevyčerpanou dovolenou: směrnice 2003/88/ES</w:t>
      </w:r>
    </w:p>
    <w:p w14:paraId="352481EE" w14:textId="7F28CA9B" w:rsidR="001C7BAA" w:rsidRPr="001C7BAA" w:rsidRDefault="001C7BAA" w:rsidP="001C7BAA">
      <w:pPr>
        <w:rPr>
          <w:rFonts w:ascii="Times New Roman" w:hAnsi="Times New Roman" w:cs="Times New Roman"/>
          <w:sz w:val="24"/>
          <w:szCs w:val="24"/>
        </w:rPr>
      </w:pPr>
      <w:r w:rsidRPr="001C7BAA">
        <w:rPr>
          <w:rFonts w:ascii="Times New Roman" w:hAnsi="Times New Roman" w:cs="Times New Roman"/>
          <w:sz w:val="24"/>
          <w:szCs w:val="24"/>
        </w:rPr>
        <w:t xml:space="preserve">Článek 7 odst. 2 směrnice 2003/88/ES zaručuje pracovníkům právo na finanční náhradu za nevyčerpanou placenou dovolenou při skončení pracovního poměru. Podle rozsudku Soudního dvora EU ve věci </w:t>
      </w:r>
      <w:r w:rsidRPr="001C7BAA">
        <w:rPr>
          <w:rFonts w:ascii="Times New Roman" w:hAnsi="Times New Roman" w:cs="Times New Roman"/>
          <w:b/>
          <w:bCs/>
          <w:sz w:val="24"/>
          <w:szCs w:val="24"/>
        </w:rPr>
        <w:t>BU v. Comune di Copertino (C-218/22)</w:t>
      </w:r>
      <w:r w:rsidRPr="001C7BAA">
        <w:rPr>
          <w:rFonts w:ascii="Times New Roman" w:hAnsi="Times New Roman" w:cs="Times New Roman"/>
          <w:sz w:val="24"/>
          <w:szCs w:val="24"/>
        </w:rPr>
        <w:t xml:space="preserve"> se tento nárok uplatní bez ohledu na důvod ukončení pracovního poměru, včetně případů propuštění pro hrubé porušení pracovních povinností.</w:t>
      </w:r>
    </w:p>
    <w:p w14:paraId="54994ABF" w14:textId="77777777" w:rsidR="001C7BAA" w:rsidRPr="001C7BAA" w:rsidRDefault="001C7BAA" w:rsidP="001C7BAA">
      <w:pPr>
        <w:rPr>
          <w:rFonts w:ascii="Times New Roman" w:hAnsi="Times New Roman" w:cs="Times New Roman"/>
          <w:sz w:val="24"/>
          <w:szCs w:val="24"/>
        </w:rPr>
      </w:pPr>
      <w:r w:rsidRPr="001C7BAA">
        <w:rPr>
          <w:rFonts w:ascii="Times New Roman" w:hAnsi="Times New Roman" w:cs="Times New Roman"/>
          <w:sz w:val="24"/>
          <w:szCs w:val="24"/>
        </w:rPr>
        <w:t>Vnitrostátní právní předpisy ani praxe nemohou toto právo omezit nebo vyloučit tím, že by zaměstnanci při skončení pracovního poměru odmítly vyplatit náhradu za nevyčerpanou dovolenou.</w:t>
      </w:r>
    </w:p>
    <w:p w14:paraId="17D55F93" w14:textId="77777777" w:rsidR="001C7BAA" w:rsidRPr="001C7BAA" w:rsidRDefault="001C7BAA" w:rsidP="001C7BAA">
      <w:pPr>
        <w:rPr>
          <w:rFonts w:ascii="Times New Roman" w:hAnsi="Times New Roman" w:cs="Times New Roman"/>
          <w:sz w:val="24"/>
          <w:szCs w:val="24"/>
        </w:rPr>
      </w:pPr>
      <w:r w:rsidRPr="001C7BAA">
        <w:rPr>
          <w:rFonts w:ascii="Times New Roman" w:hAnsi="Times New Roman" w:cs="Times New Roman"/>
          <w:sz w:val="24"/>
          <w:szCs w:val="24"/>
        </w:rPr>
        <w:t xml:space="preserve">Nedávná protikrizová legislativa v Irsku, která zaměstnavatelům umožňuje nevyplácet náhrady za dovolenou při propuštění z důvodu hrubého porušení pracovních povinností, je v rozporu s článkem 7 odst. 2 směrnice 2003/88/ES. Jak bylo potvrzeno v rozsudku </w:t>
      </w:r>
      <w:r w:rsidRPr="001C7BAA">
        <w:rPr>
          <w:rFonts w:ascii="Times New Roman" w:hAnsi="Times New Roman" w:cs="Times New Roman"/>
          <w:b/>
          <w:bCs/>
          <w:sz w:val="24"/>
          <w:szCs w:val="24"/>
        </w:rPr>
        <w:t>Max-Planck-Gesellschaft v. Shimizu,</w:t>
      </w:r>
      <w:r w:rsidRPr="001C7BAA">
        <w:rPr>
          <w:rFonts w:ascii="Times New Roman" w:hAnsi="Times New Roman" w:cs="Times New Roman"/>
          <w:sz w:val="24"/>
          <w:szCs w:val="24"/>
        </w:rPr>
        <w:t xml:space="preserve"> pokud je vnitrostátní právní úprava v rozporu s právem EU, vnitrostátní soud ji musí neaplikovat.</w:t>
      </w:r>
    </w:p>
    <w:p w14:paraId="6FC04A3D" w14:textId="77777777" w:rsidR="001C7BAA" w:rsidRPr="001C7BAA" w:rsidRDefault="001C7BAA" w:rsidP="001C7BAA">
      <w:pPr>
        <w:rPr>
          <w:rFonts w:ascii="Times New Roman" w:hAnsi="Times New Roman" w:cs="Times New Roman"/>
          <w:sz w:val="24"/>
          <w:szCs w:val="24"/>
        </w:rPr>
      </w:pPr>
      <w:r w:rsidRPr="001C7BAA">
        <w:rPr>
          <w:rFonts w:ascii="Times New Roman" w:hAnsi="Times New Roman" w:cs="Times New Roman"/>
          <w:sz w:val="24"/>
          <w:szCs w:val="24"/>
        </w:rPr>
        <w:t>Nárok Lucie na náhradu za nevyčerpanou dovolenou zůstává platný i přes irskou právní úpravu. Lucie se může obrátit na soud a dovolávat se článku 7 odst. 2 směrnice 2003/88/ES a článku 31 odst. 2 Listiny, aby jí byla vyplacena náhrada za nevyčerpanou dovolenou. Soud by měl neaplikovat kolidující irskou legislativu a zajistit ochranu práv Lucie vyplývajících z práva EU.</w:t>
      </w:r>
    </w:p>
    <w:p w14:paraId="39B8E191" w14:textId="77777777" w:rsidR="00210F88" w:rsidRPr="001A5936" w:rsidRDefault="00210F88" w:rsidP="00210F88">
      <w:pPr>
        <w:rPr>
          <w:rFonts w:ascii="Times New Roman" w:hAnsi="Times New Roman" w:cs="Times New Roman"/>
          <w:b/>
          <w:bCs/>
          <w:sz w:val="24"/>
          <w:szCs w:val="24"/>
          <w:u w:val="single"/>
        </w:rPr>
      </w:pPr>
    </w:p>
    <w:p w14:paraId="04B2393E" w14:textId="60645CB3" w:rsidR="00210F88" w:rsidRPr="001A5936" w:rsidRDefault="006E636A" w:rsidP="006E636A">
      <w:pPr>
        <w:jc w:val="both"/>
        <w:rPr>
          <w:rFonts w:ascii="Times New Roman" w:hAnsi="Times New Roman" w:cs="Times New Roman"/>
          <w:b/>
          <w:bCs/>
          <w:color w:val="215E99" w:themeColor="text2" w:themeTint="BF"/>
          <w:sz w:val="24"/>
          <w:szCs w:val="24"/>
          <w:u w:val="single"/>
        </w:rPr>
      </w:pPr>
      <w:r w:rsidRPr="001A5936">
        <w:rPr>
          <w:rFonts w:ascii="Times New Roman" w:hAnsi="Times New Roman"/>
          <w:b/>
          <w:bCs/>
          <w:color w:val="215E99" w:themeColor="text2" w:themeTint="BF"/>
          <w:sz w:val="24"/>
          <w:u w:val="single"/>
        </w:rPr>
        <w:t xml:space="preserve">4. Čtvrtá </w:t>
      </w:r>
      <w:r w:rsidR="00957D61">
        <w:rPr>
          <w:rFonts w:ascii="Times New Roman" w:hAnsi="Times New Roman"/>
          <w:b/>
          <w:bCs/>
          <w:color w:val="215E99" w:themeColor="text2" w:themeTint="BF"/>
          <w:sz w:val="24"/>
          <w:u w:val="single"/>
        </w:rPr>
        <w:t>právní otázka</w:t>
      </w:r>
      <w:r w:rsidRPr="001A5936">
        <w:rPr>
          <w:rFonts w:ascii="Times New Roman" w:hAnsi="Times New Roman"/>
          <w:b/>
          <w:bCs/>
          <w:color w:val="215E99" w:themeColor="text2" w:themeTint="BF"/>
          <w:sz w:val="24"/>
          <w:u w:val="single"/>
        </w:rPr>
        <w:t>: Nedostatečná výše dávek sociálního zabezpečení pro rodinu</w:t>
      </w:r>
    </w:p>
    <w:p w14:paraId="444AB087" w14:textId="27A80F83" w:rsidR="00210F88" w:rsidRPr="00742EBA" w:rsidRDefault="006E636A" w:rsidP="001A5936">
      <w:pPr>
        <w:jc w:val="both"/>
        <w:rPr>
          <w:rFonts w:ascii="Times New Roman" w:hAnsi="Times New Roman" w:cs="Times New Roman"/>
          <w:b/>
          <w:bCs/>
          <w:sz w:val="24"/>
          <w:szCs w:val="24"/>
        </w:rPr>
      </w:pPr>
      <w:r>
        <w:rPr>
          <w:rFonts w:ascii="Times New Roman" w:hAnsi="Times New Roman"/>
          <w:b/>
          <w:sz w:val="24"/>
        </w:rPr>
        <w:t xml:space="preserve">Skutečnosti </w:t>
      </w:r>
    </w:p>
    <w:p w14:paraId="0062FCF2" w14:textId="77777777" w:rsidR="00210F88" w:rsidRPr="00742EBA" w:rsidRDefault="00210F88" w:rsidP="00210F88">
      <w:pPr>
        <w:jc w:val="both"/>
        <w:rPr>
          <w:rFonts w:ascii="Times New Roman" w:hAnsi="Times New Roman" w:cs="Times New Roman"/>
          <w:sz w:val="24"/>
          <w:szCs w:val="24"/>
        </w:rPr>
      </w:pPr>
      <w:r>
        <w:rPr>
          <w:rFonts w:ascii="Times New Roman" w:hAnsi="Times New Roman"/>
          <w:sz w:val="24"/>
        </w:rPr>
        <w:t>Obě dcery jsou nezaměstnané</w:t>
      </w:r>
      <w:r w:rsidR="0051719E">
        <w:rPr>
          <w:rFonts w:ascii="Times New Roman" w:hAnsi="Times New Roman"/>
          <w:sz w:val="24"/>
        </w:rPr>
        <w:t xml:space="preserve"> a </w:t>
      </w:r>
      <w:r>
        <w:rPr>
          <w:rFonts w:ascii="Times New Roman" w:hAnsi="Times New Roman"/>
          <w:sz w:val="24"/>
        </w:rPr>
        <w:t>nepobírají žádnou podporu</w:t>
      </w:r>
      <w:r w:rsidR="0051719E">
        <w:rPr>
          <w:rFonts w:ascii="Times New Roman" w:hAnsi="Times New Roman"/>
          <w:sz w:val="24"/>
        </w:rPr>
        <w:t xml:space="preserve"> v </w:t>
      </w:r>
      <w:r>
        <w:rPr>
          <w:rFonts w:ascii="Times New Roman" w:hAnsi="Times New Roman"/>
          <w:sz w:val="24"/>
        </w:rPr>
        <w:t>nezaměstnanosti (pojištění</w:t>
      </w:r>
      <w:r w:rsidR="0051719E">
        <w:rPr>
          <w:rFonts w:ascii="Times New Roman" w:hAnsi="Times New Roman"/>
          <w:sz w:val="24"/>
        </w:rPr>
        <w:t xml:space="preserve"> v </w:t>
      </w:r>
      <w:r>
        <w:rPr>
          <w:rFonts w:ascii="Times New Roman" w:hAnsi="Times New Roman"/>
          <w:sz w:val="24"/>
        </w:rPr>
        <w:t>nezaměstnanosti pro osoby mladší 50 let bylo vládou zrušeno). Požádají svého otce</w:t>
      </w:r>
      <w:r w:rsidR="0051719E">
        <w:rPr>
          <w:rFonts w:ascii="Times New Roman" w:hAnsi="Times New Roman"/>
          <w:sz w:val="24"/>
        </w:rPr>
        <w:t xml:space="preserve"> v </w:t>
      </w:r>
      <w:r>
        <w:rPr>
          <w:rFonts w:ascii="Times New Roman" w:hAnsi="Times New Roman"/>
          <w:sz w:val="24"/>
        </w:rPr>
        <w:t>Itálii</w:t>
      </w:r>
      <w:r w:rsidR="0051719E">
        <w:rPr>
          <w:rFonts w:ascii="Times New Roman" w:hAnsi="Times New Roman"/>
          <w:sz w:val="24"/>
        </w:rPr>
        <w:t xml:space="preserve"> </w:t>
      </w:r>
      <w:r w:rsidR="0051719E">
        <w:rPr>
          <w:rFonts w:ascii="Times New Roman" w:hAnsi="Times New Roman"/>
          <w:sz w:val="24"/>
        </w:rPr>
        <w:lastRenderedPageBreak/>
        <w:t>o </w:t>
      </w:r>
      <w:r>
        <w:rPr>
          <w:rFonts w:ascii="Times New Roman" w:hAnsi="Times New Roman"/>
          <w:sz w:val="24"/>
        </w:rPr>
        <w:t>pomoc. Ten jim pomoci nemůže, protože italská vláda přijala</w:t>
      </w:r>
      <w:r w:rsidR="0051719E">
        <w:rPr>
          <w:rFonts w:ascii="Times New Roman" w:hAnsi="Times New Roman"/>
          <w:sz w:val="24"/>
        </w:rPr>
        <w:t xml:space="preserve"> v </w:t>
      </w:r>
      <w:r>
        <w:rPr>
          <w:rFonts w:ascii="Times New Roman" w:hAnsi="Times New Roman"/>
          <w:sz w:val="24"/>
        </w:rPr>
        <w:t>důsledku finanční krize úsporná opatření</w:t>
      </w:r>
      <w:r w:rsidR="0051719E">
        <w:rPr>
          <w:rFonts w:ascii="Times New Roman" w:hAnsi="Times New Roman"/>
          <w:sz w:val="24"/>
        </w:rPr>
        <w:t xml:space="preserve"> a </w:t>
      </w:r>
      <w:r>
        <w:rPr>
          <w:rFonts w:ascii="Times New Roman" w:hAnsi="Times New Roman"/>
          <w:sz w:val="24"/>
        </w:rPr>
        <w:t>snížila důchody</w:t>
      </w:r>
      <w:r w:rsidR="0051719E">
        <w:rPr>
          <w:rFonts w:ascii="Times New Roman" w:hAnsi="Times New Roman"/>
          <w:sz w:val="24"/>
        </w:rPr>
        <w:t xml:space="preserve"> o </w:t>
      </w:r>
      <w:r>
        <w:rPr>
          <w:rFonts w:ascii="Times New Roman" w:hAnsi="Times New Roman"/>
          <w:sz w:val="24"/>
        </w:rPr>
        <w:t>70</w:t>
      </w:r>
      <w:r w:rsidR="0051719E">
        <w:rPr>
          <w:rFonts w:ascii="Times New Roman" w:hAnsi="Times New Roman"/>
          <w:sz w:val="24"/>
        </w:rPr>
        <w:t> %</w:t>
      </w:r>
      <w:r>
        <w:rPr>
          <w:rFonts w:ascii="Times New Roman" w:hAnsi="Times New Roman"/>
          <w:sz w:val="24"/>
        </w:rPr>
        <w:t>. Rodina Litelových vás také žádá, abyste podnikli právní kroky proti italské</w:t>
      </w:r>
      <w:r w:rsidR="0051719E">
        <w:rPr>
          <w:rFonts w:ascii="Times New Roman" w:hAnsi="Times New Roman"/>
          <w:sz w:val="24"/>
        </w:rPr>
        <w:t xml:space="preserve"> a </w:t>
      </w:r>
      <w:r>
        <w:rPr>
          <w:rFonts w:ascii="Times New Roman" w:hAnsi="Times New Roman"/>
          <w:sz w:val="24"/>
        </w:rPr>
        <w:t>irské vládě, protože již nemají žádné finanční prostředky na život</w:t>
      </w:r>
      <w:r w:rsidR="0051719E">
        <w:rPr>
          <w:rFonts w:ascii="Times New Roman" w:hAnsi="Times New Roman"/>
          <w:sz w:val="24"/>
        </w:rPr>
        <w:t xml:space="preserve"> a </w:t>
      </w:r>
      <w:r>
        <w:rPr>
          <w:rFonts w:ascii="Times New Roman" w:hAnsi="Times New Roman"/>
          <w:sz w:val="24"/>
        </w:rPr>
        <w:t>otec</w:t>
      </w:r>
      <w:r w:rsidR="0051719E">
        <w:rPr>
          <w:rFonts w:ascii="Times New Roman" w:hAnsi="Times New Roman"/>
          <w:sz w:val="24"/>
        </w:rPr>
        <w:t xml:space="preserve"> a </w:t>
      </w:r>
      <w:r>
        <w:rPr>
          <w:rFonts w:ascii="Times New Roman" w:hAnsi="Times New Roman"/>
          <w:sz w:val="24"/>
        </w:rPr>
        <w:t>dvě dcery jsou obzvláště zranitelní.</w:t>
      </w:r>
    </w:p>
    <w:p w14:paraId="708E717B" w14:textId="55ABFE44" w:rsidR="00210F88" w:rsidRPr="00742EBA" w:rsidRDefault="006E636A" w:rsidP="001A5936">
      <w:pPr>
        <w:rPr>
          <w:rFonts w:ascii="Times New Roman" w:hAnsi="Times New Roman" w:cs="Times New Roman"/>
          <w:b/>
          <w:bCs/>
          <w:color w:val="000000"/>
          <w:sz w:val="24"/>
          <w:szCs w:val="24"/>
        </w:rPr>
      </w:pPr>
      <w:r>
        <w:rPr>
          <w:rFonts w:ascii="Times New Roman" w:hAnsi="Times New Roman"/>
          <w:b/>
          <w:color w:val="000000"/>
          <w:sz w:val="24"/>
        </w:rPr>
        <w:t>Použitelná ustanovení</w:t>
      </w:r>
    </w:p>
    <w:p w14:paraId="3A94E0B7" w14:textId="78F96907" w:rsidR="00DD57E6" w:rsidRPr="00DD57E6" w:rsidRDefault="00210F88" w:rsidP="00DD57E6">
      <w:pPr>
        <w:pStyle w:val="Odstavecseseznamem"/>
        <w:numPr>
          <w:ilvl w:val="0"/>
          <w:numId w:val="11"/>
        </w:numPr>
        <w:rPr>
          <w:rFonts w:ascii="Times New Roman" w:hAnsi="Times New Roman" w:cs="Times New Roman"/>
          <w:sz w:val="24"/>
          <w:szCs w:val="24"/>
        </w:rPr>
      </w:pPr>
      <w:r w:rsidRPr="00DD57E6">
        <w:rPr>
          <w:rFonts w:ascii="Times New Roman" w:hAnsi="Times New Roman"/>
          <w:sz w:val="24"/>
        </w:rPr>
        <w:t>Články 1</w:t>
      </w:r>
      <w:r w:rsidR="00DD57E6">
        <w:rPr>
          <w:rFonts w:ascii="Times New Roman" w:hAnsi="Times New Roman"/>
          <w:sz w:val="24"/>
        </w:rPr>
        <w:t xml:space="preserve"> Listiny: </w:t>
      </w:r>
      <w:r w:rsidR="00555992">
        <w:rPr>
          <w:rFonts w:ascii="Times New Roman" w:hAnsi="Times New Roman"/>
          <w:sz w:val="24"/>
        </w:rPr>
        <w:t>Lidská důstojnost</w:t>
      </w:r>
    </w:p>
    <w:p w14:paraId="4205758A" w14:textId="11630EA7" w:rsidR="00DD57E6" w:rsidRPr="00DD57E6" w:rsidRDefault="00DD57E6" w:rsidP="00DD57E6">
      <w:pPr>
        <w:pStyle w:val="Odstavecseseznamem"/>
        <w:numPr>
          <w:ilvl w:val="0"/>
          <w:numId w:val="11"/>
        </w:numPr>
        <w:rPr>
          <w:rFonts w:ascii="Times New Roman" w:hAnsi="Times New Roman" w:cs="Times New Roman"/>
          <w:sz w:val="24"/>
          <w:szCs w:val="24"/>
        </w:rPr>
      </w:pPr>
      <w:r>
        <w:rPr>
          <w:rFonts w:ascii="Times New Roman" w:hAnsi="Times New Roman"/>
          <w:sz w:val="24"/>
        </w:rPr>
        <w:t xml:space="preserve">Článek </w:t>
      </w:r>
      <w:r w:rsidR="00210F88" w:rsidRPr="00DD57E6">
        <w:rPr>
          <w:rFonts w:ascii="Times New Roman" w:hAnsi="Times New Roman"/>
          <w:sz w:val="24"/>
        </w:rPr>
        <w:t>34</w:t>
      </w:r>
      <w:r>
        <w:rPr>
          <w:rFonts w:ascii="Times New Roman" w:hAnsi="Times New Roman"/>
          <w:sz w:val="24"/>
        </w:rPr>
        <w:t xml:space="preserve"> Listiny:</w:t>
      </w:r>
      <w:r w:rsidR="00555992">
        <w:rPr>
          <w:rFonts w:ascii="Times New Roman" w:hAnsi="Times New Roman"/>
          <w:sz w:val="24"/>
        </w:rPr>
        <w:t xml:space="preserve"> Sociální zabezpečení a sociální pomoc</w:t>
      </w:r>
    </w:p>
    <w:p w14:paraId="23A463EA" w14:textId="5F51D5E7" w:rsidR="00210F88" w:rsidRPr="00DD57E6" w:rsidRDefault="00DD57E6" w:rsidP="00DD57E6">
      <w:pPr>
        <w:pStyle w:val="Odstavecseseznamem"/>
        <w:numPr>
          <w:ilvl w:val="0"/>
          <w:numId w:val="11"/>
        </w:numPr>
        <w:rPr>
          <w:rFonts w:ascii="Times New Roman" w:hAnsi="Times New Roman" w:cs="Times New Roman"/>
          <w:sz w:val="24"/>
          <w:szCs w:val="24"/>
        </w:rPr>
      </w:pPr>
      <w:r>
        <w:rPr>
          <w:rFonts w:ascii="Times New Roman" w:hAnsi="Times New Roman"/>
          <w:sz w:val="24"/>
        </w:rPr>
        <w:t xml:space="preserve">Článek </w:t>
      </w:r>
      <w:r w:rsidR="00210F88" w:rsidRPr="00DD57E6">
        <w:rPr>
          <w:rFonts w:ascii="Times New Roman" w:hAnsi="Times New Roman"/>
          <w:sz w:val="24"/>
        </w:rPr>
        <w:t>52 Listiny</w:t>
      </w:r>
      <w:r>
        <w:rPr>
          <w:rFonts w:ascii="Times New Roman" w:hAnsi="Times New Roman"/>
          <w:sz w:val="24"/>
        </w:rPr>
        <w:t>:</w:t>
      </w:r>
      <w:r w:rsidR="000252FF">
        <w:rPr>
          <w:rFonts w:ascii="Times New Roman" w:hAnsi="Times New Roman"/>
          <w:sz w:val="24"/>
        </w:rPr>
        <w:t xml:space="preserve"> Rozsah a výklad práv a zásad</w:t>
      </w:r>
    </w:p>
    <w:p w14:paraId="7499BCFB" w14:textId="77777777" w:rsidR="006E636A" w:rsidRPr="00A23D96" w:rsidRDefault="006E636A" w:rsidP="00210F88">
      <w:pPr>
        <w:rPr>
          <w:rFonts w:ascii="Times New Roman" w:hAnsi="Times New Roman" w:cs="Times New Roman"/>
          <w:sz w:val="24"/>
          <w:szCs w:val="24"/>
        </w:rPr>
      </w:pPr>
    </w:p>
    <w:p w14:paraId="48F3D322" w14:textId="6848E53A" w:rsidR="00210F88" w:rsidRPr="001A5936" w:rsidRDefault="001A5936" w:rsidP="001A5936">
      <w:pPr>
        <w:rPr>
          <w:rFonts w:ascii="Times New Roman" w:hAnsi="Times New Roman" w:cs="Times New Roman"/>
          <w:b/>
          <w:bCs/>
          <w:sz w:val="24"/>
          <w:szCs w:val="24"/>
        </w:rPr>
      </w:pPr>
      <w:r>
        <w:rPr>
          <w:rFonts w:ascii="Times New Roman" w:hAnsi="Times New Roman" w:cs="Times New Roman"/>
          <w:b/>
          <w:bCs/>
          <w:sz w:val="24"/>
          <w:szCs w:val="24"/>
        </w:rPr>
        <w:t>Materiály</w:t>
      </w:r>
    </w:p>
    <w:p w14:paraId="4CF79332" w14:textId="0BA61ACC" w:rsidR="006E636A" w:rsidRPr="00783F55" w:rsidRDefault="00D35672" w:rsidP="00783F55">
      <w:pPr>
        <w:pStyle w:val="Odstavecseseznamem"/>
        <w:numPr>
          <w:ilvl w:val="0"/>
          <w:numId w:val="12"/>
        </w:numPr>
        <w:rPr>
          <w:rFonts w:ascii="Times New Roman" w:hAnsi="Times New Roman" w:cs="Times New Roman"/>
          <w:sz w:val="24"/>
          <w:szCs w:val="24"/>
        </w:rPr>
      </w:pPr>
      <w:r w:rsidRPr="00783F55">
        <w:rPr>
          <w:rFonts w:ascii="Times New Roman" w:hAnsi="Times New Roman"/>
          <w:sz w:val="24"/>
        </w:rPr>
        <w:t>Shrnutí</w:t>
      </w:r>
      <w:r w:rsidR="0051719E" w:rsidRPr="00783F55">
        <w:rPr>
          <w:rFonts w:ascii="Times New Roman" w:hAnsi="Times New Roman"/>
          <w:sz w:val="24"/>
        </w:rPr>
        <w:t xml:space="preserve"> k </w:t>
      </w:r>
      <w:r w:rsidR="00210F88" w:rsidRPr="00783F55">
        <w:rPr>
          <w:rFonts w:ascii="Times New Roman" w:hAnsi="Times New Roman"/>
          <w:sz w:val="24"/>
        </w:rPr>
        <w:t>článku 31 Listiny.</w:t>
      </w:r>
    </w:p>
    <w:p w14:paraId="4D06329E" w14:textId="77777777" w:rsidR="00783F55" w:rsidRPr="00DE5191" w:rsidRDefault="00783F55" w:rsidP="00783F55">
      <w:pPr>
        <w:pStyle w:val="Odstavecseseznamem"/>
        <w:numPr>
          <w:ilvl w:val="0"/>
          <w:numId w:val="12"/>
        </w:numPr>
        <w:rPr>
          <w:rFonts w:ascii="Times New Roman" w:hAnsi="Times New Roman" w:cs="Times New Roman"/>
          <w:sz w:val="24"/>
          <w:szCs w:val="24"/>
        </w:rPr>
      </w:pPr>
      <w:r>
        <w:rPr>
          <w:rFonts w:ascii="Times New Roman" w:hAnsi="Times New Roman"/>
          <w:sz w:val="24"/>
        </w:rPr>
        <w:t>Příručka k Listině základních práv EU</w:t>
      </w:r>
    </w:p>
    <w:p w14:paraId="5B26D85A" w14:textId="77777777" w:rsidR="00DE5191" w:rsidRDefault="00DE5191" w:rsidP="00DE5191">
      <w:pPr>
        <w:rPr>
          <w:rFonts w:ascii="Times New Roman" w:hAnsi="Times New Roman" w:cs="Times New Roman"/>
          <w:sz w:val="24"/>
          <w:szCs w:val="24"/>
        </w:rPr>
      </w:pPr>
    </w:p>
    <w:p w14:paraId="5264C759" w14:textId="77777777" w:rsidR="00DE5191" w:rsidRPr="002F5E28" w:rsidRDefault="00DE5191" w:rsidP="00DE5191">
      <w:pPr>
        <w:spacing w:after="120" w:line="276" w:lineRule="auto"/>
        <w:jc w:val="both"/>
        <w:rPr>
          <w:rStyle w:val="Hypertextovodkaz"/>
          <w:rFonts w:ascii="Times New Roman" w:hAnsi="Times New Roman" w:cs="Times New Roman"/>
          <w:b/>
          <w:bCs/>
          <w:color w:val="auto"/>
          <w:sz w:val="24"/>
          <w:szCs w:val="24"/>
          <w:u w:val="none"/>
        </w:rPr>
      </w:pPr>
      <w:r w:rsidRPr="007A2107">
        <w:rPr>
          <w:rFonts w:ascii="Times New Roman" w:hAnsi="Times New Roman"/>
          <w:b/>
          <w:bCs/>
          <w:sz w:val="24"/>
        </w:rPr>
        <w:t>Klíčová judikatura</w:t>
      </w:r>
    </w:p>
    <w:p w14:paraId="5AE2EA18" w14:textId="77777777" w:rsidR="00210F88" w:rsidRPr="00EF58EF" w:rsidRDefault="00210F88" w:rsidP="00210F88">
      <w:pPr>
        <w:jc w:val="both"/>
        <w:rPr>
          <w:rStyle w:val="Hypertextovodkaz"/>
          <w:rFonts w:ascii="Times New Roman" w:hAnsi="Times New Roman" w:cs="Times New Roman"/>
          <w:b/>
          <w:bCs/>
          <w:sz w:val="24"/>
          <w:szCs w:val="24"/>
        </w:rPr>
      </w:pPr>
      <w:r w:rsidRPr="00EF58EF">
        <w:rPr>
          <w:rStyle w:val="Hypertextovodkaz"/>
          <w:rFonts w:ascii="Times New Roman" w:hAnsi="Times New Roman" w:cs="Times New Roman"/>
          <w:b/>
          <w:bCs/>
          <w:sz w:val="24"/>
          <w:szCs w:val="24"/>
        </w:rPr>
        <w:t xml:space="preserve">Rozsudek Soudního dvora ze dne 3. května 2017, </w:t>
      </w:r>
      <w:r w:rsidRPr="00EF58EF">
        <w:rPr>
          <w:rStyle w:val="Hypertextovodkaz"/>
          <w:rFonts w:ascii="Times New Roman" w:hAnsi="Times New Roman" w:cs="Times New Roman"/>
          <w:b/>
          <w:bCs/>
          <w:i/>
          <w:iCs/>
          <w:sz w:val="24"/>
          <w:szCs w:val="24"/>
        </w:rPr>
        <w:t>Leïmonia Sotiropoulou</w:t>
      </w:r>
      <w:r w:rsidRPr="00EF58EF">
        <w:rPr>
          <w:rStyle w:val="Hypertextovodkaz"/>
          <w:rFonts w:ascii="Times New Roman" w:hAnsi="Times New Roman" w:cs="Times New Roman"/>
          <w:b/>
          <w:bCs/>
          <w:sz w:val="24"/>
          <w:szCs w:val="24"/>
        </w:rPr>
        <w:t>, T</w:t>
      </w:r>
      <w:r w:rsidRPr="00EF58EF">
        <w:rPr>
          <w:rStyle w:val="Hypertextovodkaz"/>
          <w:rFonts w:ascii="Times New Roman" w:hAnsi="Times New Roman" w:cs="Times New Roman"/>
          <w:b/>
          <w:bCs/>
          <w:sz w:val="24"/>
          <w:szCs w:val="24"/>
        </w:rPr>
        <w:noBreakHyphen/>
        <w:t>531/14</w:t>
      </w:r>
    </w:p>
    <w:p w14:paraId="01A050AA" w14:textId="771B7126" w:rsidR="00F21C9A" w:rsidRDefault="00F21C9A" w:rsidP="006E636A">
      <w:pPr>
        <w:ind w:left="708"/>
        <w:jc w:val="both"/>
        <w:rPr>
          <w:rFonts w:ascii="Times New Roman" w:hAnsi="Times New Roman"/>
          <w:sz w:val="24"/>
        </w:rPr>
      </w:pPr>
      <w:r w:rsidRPr="00F21C9A">
        <w:rPr>
          <w:rFonts w:ascii="Times New Roman" w:hAnsi="Times New Roman"/>
          <w:sz w:val="24"/>
        </w:rPr>
        <w:t xml:space="preserve">Tento případ </w:t>
      </w:r>
      <w:r w:rsidR="00024B28">
        <w:rPr>
          <w:rFonts w:ascii="Times New Roman" w:hAnsi="Times New Roman"/>
          <w:sz w:val="24"/>
        </w:rPr>
        <w:t xml:space="preserve">se zabýval </w:t>
      </w:r>
      <w:r w:rsidRPr="00F21C9A">
        <w:rPr>
          <w:rFonts w:ascii="Times New Roman" w:hAnsi="Times New Roman"/>
          <w:sz w:val="24"/>
        </w:rPr>
        <w:t>zákonnost</w:t>
      </w:r>
      <w:r w:rsidR="00CF67E1">
        <w:rPr>
          <w:rFonts w:ascii="Times New Roman" w:hAnsi="Times New Roman"/>
          <w:sz w:val="24"/>
        </w:rPr>
        <w:t>í</w:t>
      </w:r>
      <w:r w:rsidRPr="00F21C9A">
        <w:rPr>
          <w:rFonts w:ascii="Times New Roman" w:hAnsi="Times New Roman"/>
          <w:sz w:val="24"/>
        </w:rPr>
        <w:t xml:space="preserve"> úsporných opatření přijatých během řecké finanční krize v rámci postupu při nadměrném schodku u členských států eurozóny. Soud objasnil několik klíčových otázek týkajících se provádění těchto opatření a rozsahu diskreční pravomoci Rady.</w:t>
      </w:r>
    </w:p>
    <w:p w14:paraId="4E3B7156" w14:textId="77212626" w:rsidR="00210F88" w:rsidRPr="00D45180" w:rsidRDefault="006864FF" w:rsidP="00D45180">
      <w:pPr>
        <w:ind w:left="708"/>
        <w:jc w:val="both"/>
        <w:rPr>
          <w:rFonts w:ascii="Times New Roman" w:hAnsi="Times New Roman"/>
          <w:sz w:val="24"/>
        </w:rPr>
      </w:pPr>
      <w:r>
        <w:rPr>
          <w:rFonts w:ascii="Times New Roman" w:hAnsi="Times New Roman"/>
          <w:sz w:val="24"/>
        </w:rPr>
        <w:t>Předmětná</w:t>
      </w:r>
      <w:r w:rsidR="00210F88">
        <w:rPr>
          <w:rFonts w:ascii="Times New Roman" w:hAnsi="Times New Roman"/>
          <w:sz w:val="24"/>
        </w:rPr>
        <w:t xml:space="preserve"> </w:t>
      </w:r>
      <w:r w:rsidR="00F21C9A">
        <w:rPr>
          <w:rFonts w:ascii="Times New Roman" w:hAnsi="Times New Roman"/>
          <w:sz w:val="24"/>
        </w:rPr>
        <w:t>opatření</w:t>
      </w:r>
      <w:r w:rsidR="00210F88">
        <w:rPr>
          <w:rFonts w:ascii="Times New Roman" w:hAnsi="Times New Roman"/>
          <w:sz w:val="24"/>
        </w:rPr>
        <w:t xml:space="preserve"> </w:t>
      </w:r>
      <w:r w:rsidR="007B35BA">
        <w:rPr>
          <w:rFonts w:ascii="Times New Roman" w:hAnsi="Times New Roman"/>
          <w:sz w:val="24"/>
        </w:rPr>
        <w:t>byla přijata</w:t>
      </w:r>
      <w:r w:rsidR="007318FE">
        <w:rPr>
          <w:rFonts w:ascii="Times New Roman" w:hAnsi="Times New Roman"/>
          <w:sz w:val="24"/>
        </w:rPr>
        <w:t xml:space="preserve"> v rámci pravomocí</w:t>
      </w:r>
      <w:r w:rsidR="00210F88">
        <w:rPr>
          <w:rFonts w:ascii="Times New Roman" w:hAnsi="Times New Roman"/>
          <w:sz w:val="24"/>
        </w:rPr>
        <w:t xml:space="preserve"> svěřených Radě</w:t>
      </w:r>
      <w:r w:rsidR="0015507D">
        <w:rPr>
          <w:rFonts w:ascii="Times New Roman" w:hAnsi="Times New Roman"/>
          <w:sz w:val="24"/>
        </w:rPr>
        <w:t xml:space="preserve"> podle článků</w:t>
      </w:r>
      <w:r w:rsidR="0051719E">
        <w:rPr>
          <w:rFonts w:ascii="Times New Roman" w:hAnsi="Times New Roman"/>
          <w:sz w:val="24"/>
        </w:rPr>
        <w:t> </w:t>
      </w:r>
      <w:r w:rsidR="00210F88">
        <w:rPr>
          <w:rFonts w:ascii="Times New Roman" w:hAnsi="Times New Roman"/>
          <w:sz w:val="24"/>
        </w:rPr>
        <w:t>126 odst. 9</w:t>
      </w:r>
      <w:r w:rsidR="0051719E">
        <w:rPr>
          <w:rFonts w:ascii="Times New Roman" w:hAnsi="Times New Roman"/>
          <w:sz w:val="24"/>
        </w:rPr>
        <w:t xml:space="preserve"> a</w:t>
      </w:r>
      <w:r w:rsidR="00210F88">
        <w:rPr>
          <w:rFonts w:ascii="Times New Roman" w:hAnsi="Times New Roman"/>
          <w:sz w:val="24"/>
        </w:rPr>
        <w:t xml:space="preserve"> 136 SFEU</w:t>
      </w:r>
      <w:r w:rsidR="00D45180">
        <w:rPr>
          <w:rFonts w:ascii="Times New Roman" w:hAnsi="Times New Roman"/>
          <w:sz w:val="24"/>
        </w:rPr>
        <w:t xml:space="preserve">, které jí umožňují adresovat doporučení členským státům s nadměrným schodkem. </w:t>
      </w:r>
      <w:r w:rsidR="00210F88">
        <w:rPr>
          <w:rFonts w:ascii="Times New Roman" w:hAnsi="Times New Roman"/>
          <w:sz w:val="24"/>
        </w:rPr>
        <w:t>Tato ustanovení určují pouze druh opatření, která může Rada stanovit ve vztahu</w:t>
      </w:r>
      <w:r w:rsidR="0051719E">
        <w:rPr>
          <w:rFonts w:ascii="Times New Roman" w:hAnsi="Times New Roman"/>
          <w:sz w:val="24"/>
        </w:rPr>
        <w:t xml:space="preserve"> k </w:t>
      </w:r>
      <w:r w:rsidR="00210F88">
        <w:rPr>
          <w:rFonts w:ascii="Times New Roman" w:hAnsi="Times New Roman"/>
          <w:sz w:val="24"/>
        </w:rPr>
        <w:t>dotyčnému členskému státu za účelem dosažení stanovených cílů. Tyto výsady navíc</w:t>
      </w:r>
      <w:r w:rsidR="0051719E">
        <w:rPr>
          <w:rFonts w:ascii="Times New Roman" w:hAnsi="Times New Roman"/>
          <w:sz w:val="24"/>
        </w:rPr>
        <w:t xml:space="preserve"> v </w:t>
      </w:r>
      <w:r w:rsidR="00210F88">
        <w:rPr>
          <w:rFonts w:ascii="Times New Roman" w:hAnsi="Times New Roman"/>
          <w:sz w:val="24"/>
        </w:rPr>
        <w:t>zásadě zahrnují volbu hospodářské politiky, což odůvodňuje, že Smlouvy přiznávají tomuto orgánu širokou diskreční pravomoc.</w:t>
      </w:r>
    </w:p>
    <w:p w14:paraId="5977C92E"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Je tedy třeba přezkoumat, zda Rada při přijímání napadených rozhodnutí zjevně</w:t>
      </w:r>
      <w:r w:rsidR="0051719E">
        <w:rPr>
          <w:rFonts w:ascii="Times New Roman" w:hAnsi="Times New Roman"/>
          <w:sz w:val="24"/>
        </w:rPr>
        <w:t xml:space="preserve"> a </w:t>
      </w:r>
      <w:r>
        <w:rPr>
          <w:rFonts w:ascii="Times New Roman" w:hAnsi="Times New Roman"/>
          <w:sz w:val="24"/>
        </w:rPr>
        <w:t>závažným způsobem nepřekročila meze této diskreční pravomoci.</w:t>
      </w:r>
    </w:p>
    <w:p w14:paraId="636DDADA"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V tomto ohledu je třeba připomenout, že napadená rozhodnutí byla přijata</w:t>
      </w:r>
      <w:r w:rsidR="0051719E">
        <w:rPr>
          <w:rFonts w:ascii="Times New Roman" w:hAnsi="Times New Roman"/>
          <w:sz w:val="24"/>
        </w:rPr>
        <w:t xml:space="preserve"> v </w:t>
      </w:r>
      <w:r>
        <w:rPr>
          <w:rFonts w:ascii="Times New Roman" w:hAnsi="Times New Roman"/>
          <w:sz w:val="24"/>
        </w:rPr>
        <w:t>návaznosti na rozhodnutí Rady ze dne 27. dubna 2009, kterým Rada konstatovala existenci nadměrného schodku</w:t>
      </w:r>
      <w:r w:rsidR="0051719E">
        <w:rPr>
          <w:rFonts w:ascii="Times New Roman" w:hAnsi="Times New Roman"/>
          <w:sz w:val="24"/>
        </w:rPr>
        <w:t xml:space="preserve"> v </w:t>
      </w:r>
      <w:r>
        <w:rPr>
          <w:rFonts w:ascii="Times New Roman" w:hAnsi="Times New Roman"/>
          <w:sz w:val="24"/>
        </w:rPr>
        <w:t>Řecku</w:t>
      </w:r>
      <w:r w:rsidR="0051719E">
        <w:rPr>
          <w:rFonts w:ascii="Times New Roman" w:hAnsi="Times New Roman"/>
          <w:sz w:val="24"/>
        </w:rPr>
        <w:t xml:space="preserve"> a </w:t>
      </w:r>
      <w:r>
        <w:rPr>
          <w:rFonts w:ascii="Times New Roman" w:hAnsi="Times New Roman"/>
          <w:sz w:val="24"/>
        </w:rPr>
        <w:t xml:space="preserve">podala Řecké republice doporučení, aby tento schodek odstranila nejpozději do roku 2010. </w:t>
      </w:r>
    </w:p>
    <w:p w14:paraId="0871C1AE"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Napadená rozhodnutí byla navíc přijata na základě zjištění, že zhoršení stavu veřejných financí Řecké republiky představuje hrozbu pro její finanční stabilitu</w:t>
      </w:r>
      <w:r w:rsidR="0051719E">
        <w:rPr>
          <w:rFonts w:ascii="Times New Roman" w:hAnsi="Times New Roman"/>
          <w:sz w:val="24"/>
        </w:rPr>
        <w:t xml:space="preserve"> a </w:t>
      </w:r>
      <w:r>
        <w:rPr>
          <w:rFonts w:ascii="Times New Roman" w:hAnsi="Times New Roman"/>
          <w:sz w:val="24"/>
        </w:rPr>
        <w:t xml:space="preserve">obecněji pro stabilitu eurozóny. Členské státy eurozóny se dohodly na vytvoření mezivládního mechanismu pomoci Řecké republice. </w:t>
      </w:r>
    </w:p>
    <w:p w14:paraId="0F1FD395"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V této souvislosti byla rozpočtová opatření stanovená</w:t>
      </w:r>
      <w:r w:rsidR="0051719E">
        <w:rPr>
          <w:rFonts w:ascii="Times New Roman" w:hAnsi="Times New Roman"/>
          <w:sz w:val="24"/>
        </w:rPr>
        <w:t xml:space="preserve"> v </w:t>
      </w:r>
      <w:r>
        <w:rPr>
          <w:rFonts w:ascii="Times New Roman" w:hAnsi="Times New Roman"/>
          <w:sz w:val="24"/>
        </w:rPr>
        <w:t>napadených rozhodnutích předmětem podrobných jednání</w:t>
      </w:r>
      <w:r w:rsidR="0051719E">
        <w:rPr>
          <w:rFonts w:ascii="Times New Roman" w:hAnsi="Times New Roman"/>
          <w:sz w:val="24"/>
        </w:rPr>
        <w:t xml:space="preserve"> s </w:t>
      </w:r>
      <w:r>
        <w:rPr>
          <w:rFonts w:ascii="Times New Roman" w:hAnsi="Times New Roman"/>
          <w:sz w:val="24"/>
        </w:rPr>
        <w:t>řeckou vládou</w:t>
      </w:r>
      <w:r w:rsidR="0051719E">
        <w:rPr>
          <w:rFonts w:ascii="Times New Roman" w:hAnsi="Times New Roman"/>
          <w:sz w:val="24"/>
        </w:rPr>
        <w:t xml:space="preserve"> a </w:t>
      </w:r>
      <w:r>
        <w:rPr>
          <w:rFonts w:ascii="Times New Roman" w:hAnsi="Times New Roman"/>
          <w:sz w:val="24"/>
        </w:rPr>
        <w:t>byla odsouhlasena Komisí, ECB</w:t>
      </w:r>
      <w:r w:rsidR="0051719E">
        <w:rPr>
          <w:rFonts w:ascii="Times New Roman" w:hAnsi="Times New Roman"/>
          <w:sz w:val="24"/>
        </w:rPr>
        <w:t xml:space="preserve"> a </w:t>
      </w:r>
      <w:r>
        <w:rPr>
          <w:rFonts w:ascii="Times New Roman" w:hAnsi="Times New Roman"/>
          <w:sz w:val="24"/>
        </w:rPr>
        <w:t>MMF. Zejména snížení důchodů</w:t>
      </w:r>
      <w:r w:rsidR="0051719E">
        <w:rPr>
          <w:rFonts w:ascii="Times New Roman" w:hAnsi="Times New Roman"/>
          <w:sz w:val="24"/>
        </w:rPr>
        <w:t xml:space="preserve"> a </w:t>
      </w:r>
      <w:r>
        <w:rPr>
          <w:rFonts w:ascii="Times New Roman" w:hAnsi="Times New Roman"/>
          <w:sz w:val="24"/>
        </w:rPr>
        <w:t>zrušení bonusů již bylo stanoveno</w:t>
      </w:r>
      <w:r w:rsidR="0051719E">
        <w:rPr>
          <w:rFonts w:ascii="Times New Roman" w:hAnsi="Times New Roman"/>
          <w:sz w:val="24"/>
        </w:rPr>
        <w:t xml:space="preserve"> v </w:t>
      </w:r>
      <w:r>
        <w:rPr>
          <w:rFonts w:ascii="Times New Roman" w:hAnsi="Times New Roman"/>
          <w:sz w:val="24"/>
        </w:rPr>
        <w:t>memorandu</w:t>
      </w:r>
      <w:r w:rsidR="0051719E">
        <w:rPr>
          <w:rFonts w:ascii="Times New Roman" w:hAnsi="Times New Roman"/>
          <w:sz w:val="24"/>
        </w:rPr>
        <w:t xml:space="preserve"> o </w:t>
      </w:r>
      <w:r>
        <w:rPr>
          <w:rFonts w:ascii="Times New Roman" w:hAnsi="Times New Roman"/>
          <w:sz w:val="24"/>
        </w:rPr>
        <w:t>porozumění podepsaném 3. května 2010.</w:t>
      </w:r>
    </w:p>
    <w:p w14:paraId="5304A46A"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lastRenderedPageBreak/>
        <w:t>Ve světle všech výše uvedených skutečností tedy nebylo zjevně neodůvodněné stanovit přijetí úsporných opatření týkajících se různých výdajových položek, včetně těch, které souvisejí</w:t>
      </w:r>
      <w:r w:rsidR="0051719E">
        <w:rPr>
          <w:rFonts w:ascii="Times New Roman" w:hAnsi="Times New Roman"/>
          <w:sz w:val="24"/>
        </w:rPr>
        <w:t xml:space="preserve"> s </w:t>
      </w:r>
      <w:r>
        <w:rPr>
          <w:rFonts w:ascii="Times New Roman" w:hAnsi="Times New Roman"/>
          <w:sz w:val="24"/>
        </w:rPr>
        <w:t>důchodovým systémem.</w:t>
      </w:r>
    </w:p>
    <w:p w14:paraId="74245391"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Rada tedy přijetím napadených rozhodnutí nepřekročila meze své široké diskreční pravomoci.</w:t>
      </w:r>
    </w:p>
    <w:p w14:paraId="30A6D272"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Navíc za předpokladu, že by napadená rozhodnutí mohla způsobit škodu,</w:t>
      </w:r>
      <w:r w:rsidR="0051719E">
        <w:rPr>
          <w:rFonts w:ascii="Times New Roman" w:hAnsi="Times New Roman"/>
          <w:sz w:val="24"/>
        </w:rPr>
        <w:t xml:space="preserve"> o </w:t>
      </w:r>
      <w:r>
        <w:rPr>
          <w:rFonts w:ascii="Times New Roman" w:hAnsi="Times New Roman"/>
          <w:sz w:val="24"/>
        </w:rPr>
        <w:t>které žalobce tvrdí, že mu byla způsobena, což by bylo třeba ještě prokázat</w:t>
      </w:r>
      <w:r w:rsidR="0051719E">
        <w:rPr>
          <w:rFonts w:ascii="Times New Roman" w:hAnsi="Times New Roman"/>
          <w:sz w:val="24"/>
        </w:rPr>
        <w:t xml:space="preserve"> v </w:t>
      </w:r>
      <w:r>
        <w:rPr>
          <w:rFonts w:ascii="Times New Roman" w:hAnsi="Times New Roman"/>
          <w:sz w:val="24"/>
        </w:rPr>
        <w:t>rámci zkoumání existence příčinné souvislosti, je třeba poznamenat, že práva na přístup</w:t>
      </w:r>
      <w:r w:rsidR="0051719E">
        <w:rPr>
          <w:rFonts w:ascii="Times New Roman" w:hAnsi="Times New Roman"/>
          <w:sz w:val="24"/>
        </w:rPr>
        <w:t xml:space="preserve"> k </w:t>
      </w:r>
      <w:r>
        <w:rPr>
          <w:rFonts w:ascii="Times New Roman" w:hAnsi="Times New Roman"/>
          <w:sz w:val="24"/>
        </w:rPr>
        <w:t>dávkám sociálního zabezpečení</w:t>
      </w:r>
      <w:r w:rsidR="0051719E">
        <w:rPr>
          <w:rFonts w:ascii="Times New Roman" w:hAnsi="Times New Roman"/>
          <w:sz w:val="24"/>
        </w:rPr>
        <w:t xml:space="preserve"> a </w:t>
      </w:r>
      <w:r>
        <w:rPr>
          <w:rFonts w:ascii="Times New Roman" w:hAnsi="Times New Roman"/>
          <w:sz w:val="24"/>
        </w:rPr>
        <w:t>sociálním službám požadovaná žalobci nejsou absolutními výsadami. Jejich výkon totiž může podléhat omezením odůvodněným cíli obecného zájmu sledovanými Unií, jak vyplývá</w:t>
      </w:r>
      <w:r w:rsidR="0051719E">
        <w:rPr>
          <w:rFonts w:ascii="Times New Roman" w:hAnsi="Times New Roman"/>
          <w:sz w:val="24"/>
        </w:rPr>
        <w:t xml:space="preserve"> z čl. </w:t>
      </w:r>
      <w:r>
        <w:rPr>
          <w:rFonts w:ascii="Times New Roman" w:hAnsi="Times New Roman"/>
          <w:sz w:val="24"/>
        </w:rPr>
        <w:t>52 odst. 1 Listiny základních práv, pokud jsou nezbytná</w:t>
      </w:r>
      <w:r w:rsidR="0051719E">
        <w:rPr>
          <w:rFonts w:ascii="Times New Roman" w:hAnsi="Times New Roman"/>
          <w:sz w:val="24"/>
        </w:rPr>
        <w:t xml:space="preserve"> a </w:t>
      </w:r>
      <w:r>
        <w:rPr>
          <w:rFonts w:ascii="Times New Roman" w:hAnsi="Times New Roman"/>
          <w:sz w:val="24"/>
        </w:rPr>
        <w:t>účinně naplňují tyto cíle.</w:t>
      </w:r>
    </w:p>
    <w:p w14:paraId="0AE42121" w14:textId="77777777" w:rsidR="00210F88" w:rsidRPr="00742EBA" w:rsidRDefault="00210F88" w:rsidP="006E636A">
      <w:pPr>
        <w:ind w:left="708"/>
        <w:jc w:val="both"/>
        <w:rPr>
          <w:rFonts w:ascii="Times New Roman" w:hAnsi="Times New Roman" w:cs="Times New Roman"/>
          <w:sz w:val="24"/>
          <w:szCs w:val="24"/>
        </w:rPr>
      </w:pPr>
      <w:r>
        <w:rPr>
          <w:rFonts w:ascii="Times New Roman" w:hAnsi="Times New Roman"/>
          <w:sz w:val="24"/>
        </w:rPr>
        <w:t>V projednávaném případě opatření zaměřená na snížení výše důchodů splňují cíle obecného zájmu, konkrétně cíle zajištění rozpočtové konsolidace, snížení veřejných výdajů</w:t>
      </w:r>
      <w:r w:rsidR="0051719E">
        <w:rPr>
          <w:rFonts w:ascii="Times New Roman" w:hAnsi="Times New Roman"/>
          <w:sz w:val="24"/>
        </w:rPr>
        <w:t xml:space="preserve"> a </w:t>
      </w:r>
      <w:r>
        <w:rPr>
          <w:rFonts w:ascii="Times New Roman" w:hAnsi="Times New Roman"/>
          <w:sz w:val="24"/>
        </w:rPr>
        <w:t>podpory důchodového systému tohoto členského státu. Tato opatření proto také splňují cíle obecného zájmu, které Unie sleduje,</w:t>
      </w:r>
      <w:r w:rsidR="0051719E">
        <w:rPr>
          <w:rFonts w:ascii="Times New Roman" w:hAnsi="Times New Roman"/>
          <w:sz w:val="24"/>
        </w:rPr>
        <w:t xml:space="preserve"> a </w:t>
      </w:r>
      <w:r>
        <w:rPr>
          <w:rFonts w:ascii="Times New Roman" w:hAnsi="Times New Roman"/>
          <w:sz w:val="24"/>
        </w:rPr>
        <w:t>to zajištění rozpočtové kázně</w:t>
      </w:r>
      <w:r w:rsidR="0051719E">
        <w:rPr>
          <w:rFonts w:ascii="Times New Roman" w:hAnsi="Times New Roman"/>
          <w:sz w:val="24"/>
        </w:rPr>
        <w:t xml:space="preserve"> v </w:t>
      </w:r>
      <w:r>
        <w:rPr>
          <w:rFonts w:ascii="Times New Roman" w:hAnsi="Times New Roman"/>
          <w:sz w:val="24"/>
        </w:rPr>
        <w:t>členských státech, jejichž měnou je euro,</w:t>
      </w:r>
      <w:r w:rsidR="0051719E">
        <w:rPr>
          <w:rFonts w:ascii="Times New Roman" w:hAnsi="Times New Roman"/>
          <w:sz w:val="24"/>
        </w:rPr>
        <w:t xml:space="preserve"> a </w:t>
      </w:r>
      <w:r>
        <w:rPr>
          <w:rFonts w:ascii="Times New Roman" w:hAnsi="Times New Roman"/>
          <w:sz w:val="24"/>
        </w:rPr>
        <w:t>zajištění finanční stability eurozóny.</w:t>
      </w:r>
    </w:p>
    <w:p w14:paraId="6CD7ADED" w14:textId="77777777" w:rsidR="006E636A" w:rsidRPr="00BC2D8C" w:rsidRDefault="006E636A" w:rsidP="00210F88">
      <w:pPr>
        <w:jc w:val="both"/>
        <w:rPr>
          <w:rFonts w:ascii="Times New Roman" w:hAnsi="Times New Roman" w:cs="Times New Roman"/>
          <w:b/>
          <w:bCs/>
          <w:sz w:val="24"/>
          <w:szCs w:val="24"/>
        </w:rPr>
      </w:pPr>
    </w:p>
    <w:p w14:paraId="29384D1E" w14:textId="77777777" w:rsidR="00210F88" w:rsidRPr="00742EBA" w:rsidRDefault="006E636A" w:rsidP="00210F88">
      <w:pPr>
        <w:jc w:val="both"/>
        <w:rPr>
          <w:rFonts w:ascii="Times New Roman" w:hAnsi="Times New Roman" w:cs="Times New Roman"/>
          <w:b/>
          <w:bCs/>
          <w:sz w:val="24"/>
          <w:szCs w:val="24"/>
        </w:rPr>
      </w:pPr>
      <w:r>
        <w:rPr>
          <w:rFonts w:ascii="Times New Roman" w:hAnsi="Times New Roman"/>
          <w:b/>
          <w:sz w:val="24"/>
        </w:rPr>
        <w:t>ŘEŠENÍ</w:t>
      </w:r>
    </w:p>
    <w:p w14:paraId="724FC0AD" w14:textId="77777777" w:rsidR="00E00DE9" w:rsidRPr="00E00DE9" w:rsidRDefault="00E00DE9" w:rsidP="00E00DE9">
      <w:pPr>
        <w:jc w:val="both"/>
        <w:rPr>
          <w:rFonts w:ascii="Times New Roman" w:hAnsi="Times New Roman"/>
          <w:sz w:val="24"/>
        </w:rPr>
      </w:pPr>
      <w:r w:rsidRPr="00E00DE9">
        <w:rPr>
          <w:rFonts w:ascii="Times New Roman" w:hAnsi="Times New Roman"/>
          <w:b/>
          <w:bCs/>
          <w:sz w:val="24"/>
        </w:rPr>
        <w:t>Článek 1 Listiny</w:t>
      </w:r>
      <w:r w:rsidRPr="00E00DE9">
        <w:rPr>
          <w:rFonts w:ascii="Times New Roman" w:hAnsi="Times New Roman"/>
          <w:sz w:val="24"/>
        </w:rPr>
        <w:t xml:space="preserve"> zaručuje respektování lidské důstojnosti a </w:t>
      </w:r>
      <w:r w:rsidRPr="00E00DE9">
        <w:rPr>
          <w:rFonts w:ascii="Times New Roman" w:hAnsi="Times New Roman"/>
          <w:b/>
          <w:bCs/>
          <w:sz w:val="24"/>
        </w:rPr>
        <w:t>článek 34</w:t>
      </w:r>
      <w:r w:rsidRPr="00E00DE9">
        <w:rPr>
          <w:rFonts w:ascii="Times New Roman" w:hAnsi="Times New Roman"/>
          <w:sz w:val="24"/>
        </w:rPr>
        <w:t xml:space="preserve"> uznává práva na sociální zabezpečení a pomoc. Tato práva však nejsou bezpodmínečná ani absolutní.</w:t>
      </w:r>
    </w:p>
    <w:p w14:paraId="789FA5EE" w14:textId="77777777" w:rsidR="00E00DE9" w:rsidRPr="00E00DE9" w:rsidRDefault="00E00DE9" w:rsidP="00E00DE9">
      <w:pPr>
        <w:jc w:val="both"/>
        <w:rPr>
          <w:rFonts w:ascii="Times New Roman" w:hAnsi="Times New Roman"/>
          <w:sz w:val="24"/>
        </w:rPr>
      </w:pPr>
      <w:r w:rsidRPr="00E00DE9">
        <w:rPr>
          <w:rFonts w:ascii="Times New Roman" w:hAnsi="Times New Roman"/>
          <w:sz w:val="24"/>
        </w:rPr>
        <w:t xml:space="preserve">Jak bylo konstatováno </w:t>
      </w:r>
      <w:r w:rsidRPr="00E00DE9">
        <w:rPr>
          <w:rFonts w:ascii="Times New Roman" w:hAnsi="Times New Roman"/>
          <w:b/>
          <w:bCs/>
          <w:sz w:val="24"/>
        </w:rPr>
        <w:t>ve</w:t>
      </w:r>
      <w:r w:rsidRPr="00E00DE9">
        <w:rPr>
          <w:rFonts w:ascii="Times New Roman" w:hAnsi="Times New Roman"/>
          <w:sz w:val="24"/>
        </w:rPr>
        <w:t xml:space="preserve"> </w:t>
      </w:r>
      <w:r w:rsidRPr="00E00DE9">
        <w:rPr>
          <w:rFonts w:ascii="Times New Roman" w:hAnsi="Times New Roman"/>
          <w:b/>
          <w:bCs/>
          <w:sz w:val="24"/>
        </w:rPr>
        <w:t>věci</w:t>
      </w:r>
      <w:r w:rsidRPr="00E00DE9">
        <w:rPr>
          <w:rFonts w:ascii="Times New Roman" w:hAnsi="Times New Roman"/>
          <w:sz w:val="24"/>
        </w:rPr>
        <w:t xml:space="preserve"> </w:t>
      </w:r>
      <w:r w:rsidRPr="00E00DE9">
        <w:rPr>
          <w:rFonts w:ascii="Times New Roman" w:hAnsi="Times New Roman"/>
          <w:b/>
          <w:bCs/>
          <w:sz w:val="24"/>
        </w:rPr>
        <w:t>Leïmonia Sotiropoulou</w:t>
      </w:r>
      <w:r w:rsidRPr="00E00DE9">
        <w:rPr>
          <w:rFonts w:ascii="Times New Roman" w:hAnsi="Times New Roman"/>
          <w:sz w:val="24"/>
        </w:rPr>
        <w:t>, přístup k dávkám sociálního zabezpečení může být omezen z důvodů obecného zájmu, například za účelem řešení finanční krize nebo zajištění rozpočtové kázně.</w:t>
      </w:r>
    </w:p>
    <w:p w14:paraId="1FAD89AF" w14:textId="77777777" w:rsidR="00E00DE9" w:rsidRPr="00E00DE9" w:rsidRDefault="00E00DE9" w:rsidP="00E00DE9">
      <w:pPr>
        <w:jc w:val="both"/>
        <w:rPr>
          <w:rFonts w:ascii="Times New Roman" w:hAnsi="Times New Roman"/>
          <w:sz w:val="24"/>
        </w:rPr>
      </w:pPr>
      <w:r w:rsidRPr="00E00DE9">
        <w:rPr>
          <w:rFonts w:ascii="Times New Roman" w:hAnsi="Times New Roman"/>
          <w:sz w:val="24"/>
        </w:rPr>
        <w:t>Zrušení podpory v nezaměstnanosti pro mladší osoby v Irsku a snížení důchodů v Itálii představují opatření přijatá v reakci na širší hospodářskou krizi.</w:t>
      </w:r>
    </w:p>
    <w:p w14:paraId="5F87B98B" w14:textId="77777777" w:rsidR="00E00DE9" w:rsidRPr="00E00DE9" w:rsidRDefault="00E00DE9" w:rsidP="00E00DE9">
      <w:pPr>
        <w:jc w:val="both"/>
        <w:rPr>
          <w:rFonts w:ascii="Times New Roman" w:hAnsi="Times New Roman"/>
          <w:sz w:val="24"/>
        </w:rPr>
      </w:pPr>
      <w:r w:rsidRPr="00E00DE9">
        <w:rPr>
          <w:rFonts w:ascii="Times New Roman" w:hAnsi="Times New Roman"/>
          <w:sz w:val="24"/>
        </w:rPr>
        <w:t xml:space="preserve">Podle </w:t>
      </w:r>
      <w:r w:rsidRPr="00E00DE9">
        <w:rPr>
          <w:rFonts w:ascii="Times New Roman" w:hAnsi="Times New Roman"/>
          <w:b/>
          <w:bCs/>
          <w:sz w:val="24"/>
        </w:rPr>
        <w:t>článku 52 odst. 1 Listiny</w:t>
      </w:r>
      <w:r w:rsidRPr="00E00DE9">
        <w:rPr>
          <w:rFonts w:ascii="Times New Roman" w:hAnsi="Times New Roman"/>
          <w:sz w:val="24"/>
        </w:rPr>
        <w:t xml:space="preserve"> jsou taková opatření přípustná, pokud jsou nezbytná, přiměřená a sledují legitimní cíle, jako je zajištění finanční stability nebo snížení veřejných výdajů.</w:t>
      </w:r>
    </w:p>
    <w:p w14:paraId="74E5E176" w14:textId="0948E878" w:rsidR="00E00DE9" w:rsidRPr="00E00DE9" w:rsidRDefault="00E00DE9" w:rsidP="00E00DE9">
      <w:pPr>
        <w:jc w:val="both"/>
        <w:rPr>
          <w:rFonts w:ascii="Times New Roman" w:hAnsi="Times New Roman"/>
          <w:sz w:val="24"/>
        </w:rPr>
      </w:pPr>
      <w:r w:rsidRPr="00E00DE9">
        <w:rPr>
          <w:rFonts w:ascii="Times New Roman" w:hAnsi="Times New Roman"/>
          <w:sz w:val="24"/>
        </w:rPr>
        <w:t xml:space="preserve">S ohledem na hospodářskou krizi a neexistenci </w:t>
      </w:r>
      <w:r w:rsidR="008E505E">
        <w:rPr>
          <w:rFonts w:ascii="Times New Roman" w:hAnsi="Times New Roman"/>
          <w:sz w:val="24"/>
        </w:rPr>
        <w:t>evropských právních předpisů</w:t>
      </w:r>
      <w:r w:rsidRPr="00E00DE9">
        <w:rPr>
          <w:rFonts w:ascii="Times New Roman" w:hAnsi="Times New Roman"/>
          <w:sz w:val="24"/>
        </w:rPr>
        <w:t>, kter</w:t>
      </w:r>
      <w:r w:rsidR="008E505E">
        <w:rPr>
          <w:rFonts w:ascii="Times New Roman" w:hAnsi="Times New Roman"/>
          <w:sz w:val="24"/>
        </w:rPr>
        <w:t>é</w:t>
      </w:r>
      <w:r w:rsidRPr="00E00DE9">
        <w:rPr>
          <w:rFonts w:ascii="Times New Roman" w:hAnsi="Times New Roman"/>
          <w:sz w:val="24"/>
        </w:rPr>
        <w:t xml:space="preserve"> by výslovně zaručoval</w:t>
      </w:r>
      <w:r w:rsidR="00380A1C">
        <w:rPr>
          <w:rFonts w:ascii="Times New Roman" w:hAnsi="Times New Roman"/>
          <w:sz w:val="24"/>
        </w:rPr>
        <w:t>y</w:t>
      </w:r>
      <w:r w:rsidRPr="00E00DE9">
        <w:rPr>
          <w:rFonts w:ascii="Times New Roman" w:hAnsi="Times New Roman"/>
          <w:sz w:val="24"/>
        </w:rPr>
        <w:t xml:space="preserve"> určitou úroveň náhradního příjmu, má rodina LITEL jen malou šanci dosáhnout odsouzení členských států.</w:t>
      </w:r>
    </w:p>
    <w:p w14:paraId="6FF340A7" w14:textId="6A2E6AEE" w:rsidR="00210F88" w:rsidRPr="00742EBA" w:rsidRDefault="00210F88" w:rsidP="006E636A">
      <w:pPr>
        <w:rPr>
          <w:rFonts w:ascii="Times New Roman" w:hAnsi="Times New Roman" w:cs="Times New Roman"/>
          <w:sz w:val="24"/>
          <w:szCs w:val="24"/>
        </w:rPr>
      </w:pPr>
    </w:p>
    <w:sectPr w:rsidR="00210F88" w:rsidRPr="00742EBA" w:rsidSect="00E52061">
      <w:headerReference w:type="default" r:id="rId19"/>
      <w:pgSz w:w="11906" w:h="16838"/>
      <w:pgMar w:top="1417" w:right="1417" w:bottom="130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FAF14" w14:textId="77777777" w:rsidR="009C5C48" w:rsidRDefault="009C5C48" w:rsidP="00173270">
      <w:pPr>
        <w:spacing w:after="0" w:line="240" w:lineRule="auto"/>
      </w:pPr>
      <w:r>
        <w:separator/>
      </w:r>
    </w:p>
  </w:endnote>
  <w:endnote w:type="continuationSeparator" w:id="0">
    <w:p w14:paraId="161FA765" w14:textId="77777777" w:rsidR="009C5C48" w:rsidRDefault="009C5C48" w:rsidP="00173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527BD" w14:textId="77777777" w:rsidR="009C5C48" w:rsidRDefault="009C5C48" w:rsidP="00173270">
      <w:pPr>
        <w:spacing w:after="0" w:line="240" w:lineRule="auto"/>
      </w:pPr>
      <w:r>
        <w:separator/>
      </w:r>
    </w:p>
  </w:footnote>
  <w:footnote w:type="continuationSeparator" w:id="0">
    <w:p w14:paraId="3A8C9635" w14:textId="77777777" w:rsidR="009C5C48" w:rsidRDefault="009C5C48" w:rsidP="00173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B2CDC" w14:textId="010D7E23" w:rsidR="00173270" w:rsidRDefault="00173270">
    <w:pPr>
      <w:pStyle w:val="Zhlav"/>
    </w:pPr>
    <w:r w:rsidRPr="00173270">
      <w:rPr>
        <w:rFonts w:ascii="Calibri" w:hAnsi="Calibri" w:cs="Calibri"/>
        <w:b/>
        <w:bCs/>
        <w:i/>
        <w:iCs/>
        <w:noProof/>
        <w:color w:val="156082" w:themeColor="accent1"/>
        <w:lang w:val="en-GB"/>
      </w:rPr>
      <w:drawing>
        <wp:anchor distT="0" distB="0" distL="114300" distR="114300" simplePos="0" relativeHeight="251656192" behindDoc="1" locked="0" layoutInCell="1" allowOverlap="1" wp14:anchorId="7DACB604" wp14:editId="036B9675">
          <wp:simplePos x="0" y="0"/>
          <wp:positionH relativeFrom="margin">
            <wp:posOffset>-899795</wp:posOffset>
          </wp:positionH>
          <wp:positionV relativeFrom="paragraph">
            <wp:posOffset>-449580</wp:posOffset>
          </wp:positionV>
          <wp:extent cx="7659613" cy="885825"/>
          <wp:effectExtent l="0" t="0" r="0" b="0"/>
          <wp:wrapNone/>
          <wp:docPr id="207873168" name="Image 6"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73168" name="Image 6" descr="Une image contenant Bleu électrique, Bleu Majorelle, Bleu cobalt, drapeau&#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66804" cy="88665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548B8"/>
    <w:multiLevelType w:val="hybridMultilevel"/>
    <w:tmpl w:val="92D8D392"/>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4C50EFC"/>
    <w:multiLevelType w:val="multilevel"/>
    <w:tmpl w:val="073E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960552"/>
    <w:multiLevelType w:val="hybridMultilevel"/>
    <w:tmpl w:val="38E2C9D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2BA3BDC"/>
    <w:multiLevelType w:val="hybridMultilevel"/>
    <w:tmpl w:val="258EFAC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E55FD1"/>
    <w:multiLevelType w:val="hybridMultilevel"/>
    <w:tmpl w:val="D5DCFB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F03B48"/>
    <w:multiLevelType w:val="hybridMultilevel"/>
    <w:tmpl w:val="CD084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3EF3CE6"/>
    <w:multiLevelType w:val="hybridMultilevel"/>
    <w:tmpl w:val="E5988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A31EB2"/>
    <w:multiLevelType w:val="hybridMultilevel"/>
    <w:tmpl w:val="0BDEA7E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64AC6537"/>
    <w:multiLevelType w:val="hybridMultilevel"/>
    <w:tmpl w:val="27D6B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AAC2351"/>
    <w:multiLevelType w:val="hybridMultilevel"/>
    <w:tmpl w:val="B3229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F90CDF"/>
    <w:multiLevelType w:val="hybridMultilevel"/>
    <w:tmpl w:val="154A1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2904E2C"/>
    <w:multiLevelType w:val="hybridMultilevel"/>
    <w:tmpl w:val="B6705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7256520">
    <w:abstractNumId w:val="3"/>
  </w:num>
  <w:num w:numId="2" w16cid:durableId="1377462670">
    <w:abstractNumId w:val="0"/>
  </w:num>
  <w:num w:numId="3" w16cid:durableId="1209955596">
    <w:abstractNumId w:val="2"/>
  </w:num>
  <w:num w:numId="4" w16cid:durableId="330254920">
    <w:abstractNumId w:val="7"/>
  </w:num>
  <w:num w:numId="5" w16cid:durableId="1652323611">
    <w:abstractNumId w:val="1"/>
  </w:num>
  <w:num w:numId="6" w16cid:durableId="477496859">
    <w:abstractNumId w:val="11"/>
  </w:num>
  <w:num w:numId="7" w16cid:durableId="257257954">
    <w:abstractNumId w:val="4"/>
  </w:num>
  <w:num w:numId="8" w16cid:durableId="529605872">
    <w:abstractNumId w:val="6"/>
  </w:num>
  <w:num w:numId="9" w16cid:durableId="1235509854">
    <w:abstractNumId w:val="9"/>
  </w:num>
  <w:num w:numId="10" w16cid:durableId="370686834">
    <w:abstractNumId w:val="5"/>
  </w:num>
  <w:num w:numId="11" w16cid:durableId="2115781425">
    <w:abstractNumId w:val="10"/>
  </w:num>
  <w:num w:numId="12" w16cid:durableId="20854877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000D"/>
    <w:rsid w:val="00003469"/>
    <w:rsid w:val="0000635C"/>
    <w:rsid w:val="00024B28"/>
    <w:rsid w:val="000252FF"/>
    <w:rsid w:val="00033851"/>
    <w:rsid w:val="00067F16"/>
    <w:rsid w:val="0007507C"/>
    <w:rsid w:val="000A576D"/>
    <w:rsid w:val="000D4C77"/>
    <w:rsid w:val="00114A44"/>
    <w:rsid w:val="00120622"/>
    <w:rsid w:val="00125D0A"/>
    <w:rsid w:val="00126F10"/>
    <w:rsid w:val="001545A9"/>
    <w:rsid w:val="0015507D"/>
    <w:rsid w:val="00164C94"/>
    <w:rsid w:val="00173270"/>
    <w:rsid w:val="00180529"/>
    <w:rsid w:val="001A5936"/>
    <w:rsid w:val="001C7BAA"/>
    <w:rsid w:val="00210F88"/>
    <w:rsid w:val="00255232"/>
    <w:rsid w:val="00262F24"/>
    <w:rsid w:val="002F54C4"/>
    <w:rsid w:val="002F5E28"/>
    <w:rsid w:val="00300B7B"/>
    <w:rsid w:val="00305C18"/>
    <w:rsid w:val="003302DA"/>
    <w:rsid w:val="00340C7C"/>
    <w:rsid w:val="00357AF5"/>
    <w:rsid w:val="00380A1C"/>
    <w:rsid w:val="0038305A"/>
    <w:rsid w:val="003A229F"/>
    <w:rsid w:val="003A6FC9"/>
    <w:rsid w:val="003C4298"/>
    <w:rsid w:val="003D0C72"/>
    <w:rsid w:val="00442A25"/>
    <w:rsid w:val="00464AEE"/>
    <w:rsid w:val="00465349"/>
    <w:rsid w:val="00467FAF"/>
    <w:rsid w:val="00484499"/>
    <w:rsid w:val="005048DF"/>
    <w:rsid w:val="0051719E"/>
    <w:rsid w:val="00546072"/>
    <w:rsid w:val="00555992"/>
    <w:rsid w:val="0055735C"/>
    <w:rsid w:val="00585DDC"/>
    <w:rsid w:val="005E26E3"/>
    <w:rsid w:val="005E53AA"/>
    <w:rsid w:val="005F6B5F"/>
    <w:rsid w:val="00624D64"/>
    <w:rsid w:val="00641468"/>
    <w:rsid w:val="006747F0"/>
    <w:rsid w:val="006854D4"/>
    <w:rsid w:val="006864FF"/>
    <w:rsid w:val="006E636A"/>
    <w:rsid w:val="00723BF4"/>
    <w:rsid w:val="007318FE"/>
    <w:rsid w:val="00742EBA"/>
    <w:rsid w:val="00746C7A"/>
    <w:rsid w:val="00783F55"/>
    <w:rsid w:val="00785B95"/>
    <w:rsid w:val="0079724D"/>
    <w:rsid w:val="007A2107"/>
    <w:rsid w:val="007A58EF"/>
    <w:rsid w:val="007B35BA"/>
    <w:rsid w:val="007B6432"/>
    <w:rsid w:val="007E2671"/>
    <w:rsid w:val="0081524A"/>
    <w:rsid w:val="00843619"/>
    <w:rsid w:val="00844015"/>
    <w:rsid w:val="008536E0"/>
    <w:rsid w:val="0086197F"/>
    <w:rsid w:val="0089327F"/>
    <w:rsid w:val="008A18BF"/>
    <w:rsid w:val="008A4A8A"/>
    <w:rsid w:val="008C5B73"/>
    <w:rsid w:val="008E505E"/>
    <w:rsid w:val="00902523"/>
    <w:rsid w:val="00903503"/>
    <w:rsid w:val="00957D61"/>
    <w:rsid w:val="00980441"/>
    <w:rsid w:val="0099513D"/>
    <w:rsid w:val="009A1892"/>
    <w:rsid w:val="009A7854"/>
    <w:rsid w:val="009B2FE8"/>
    <w:rsid w:val="009C5C48"/>
    <w:rsid w:val="009D1066"/>
    <w:rsid w:val="00A02388"/>
    <w:rsid w:val="00A23D96"/>
    <w:rsid w:val="00A35436"/>
    <w:rsid w:val="00A37647"/>
    <w:rsid w:val="00AD4E48"/>
    <w:rsid w:val="00AE23B9"/>
    <w:rsid w:val="00AF5F18"/>
    <w:rsid w:val="00B12024"/>
    <w:rsid w:val="00B55190"/>
    <w:rsid w:val="00BB0B87"/>
    <w:rsid w:val="00BB5691"/>
    <w:rsid w:val="00BC2D8C"/>
    <w:rsid w:val="00BF000D"/>
    <w:rsid w:val="00C06162"/>
    <w:rsid w:val="00C07352"/>
    <w:rsid w:val="00C479B5"/>
    <w:rsid w:val="00C52EFC"/>
    <w:rsid w:val="00CC38E8"/>
    <w:rsid w:val="00CC6B64"/>
    <w:rsid w:val="00CD1D61"/>
    <w:rsid w:val="00CF67E1"/>
    <w:rsid w:val="00D35672"/>
    <w:rsid w:val="00D40A1E"/>
    <w:rsid w:val="00D45180"/>
    <w:rsid w:val="00D508B4"/>
    <w:rsid w:val="00D95FAA"/>
    <w:rsid w:val="00DD57E6"/>
    <w:rsid w:val="00DE5191"/>
    <w:rsid w:val="00DE748F"/>
    <w:rsid w:val="00DF5B73"/>
    <w:rsid w:val="00E00DE9"/>
    <w:rsid w:val="00E52061"/>
    <w:rsid w:val="00E77476"/>
    <w:rsid w:val="00E8346C"/>
    <w:rsid w:val="00E920AA"/>
    <w:rsid w:val="00EB1B5C"/>
    <w:rsid w:val="00EC2AB4"/>
    <w:rsid w:val="00EF58EF"/>
    <w:rsid w:val="00EF7D00"/>
    <w:rsid w:val="00F02310"/>
    <w:rsid w:val="00F21C9A"/>
    <w:rsid w:val="00F235A5"/>
    <w:rsid w:val="00F3253D"/>
    <w:rsid w:val="00F56D08"/>
    <w:rsid w:val="00F678F5"/>
    <w:rsid w:val="00F705B4"/>
    <w:rsid w:val="00F70EAA"/>
    <w:rsid w:val="00FB2C8E"/>
    <w:rsid w:val="00FD0777"/>
    <w:rsid w:val="00FE6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89ECDCD"/>
  <w15:docId w15:val="{88DD5268-813A-4CE2-B9BA-DD6830067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00D"/>
  </w:style>
  <w:style w:type="paragraph" w:styleId="Nadpis1">
    <w:name w:val="heading 1"/>
    <w:basedOn w:val="Normln"/>
    <w:next w:val="Normln"/>
    <w:link w:val="Nadpis1Char"/>
    <w:uiPriority w:val="9"/>
    <w:qFormat/>
    <w:rsid w:val="00BF00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F00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F000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F000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F000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F000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F000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F000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F000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000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F000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F000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F000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F000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F000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F000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F000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F000D"/>
    <w:rPr>
      <w:rFonts w:eastAsiaTheme="majorEastAsia" w:cstheme="majorBidi"/>
      <w:color w:val="272727" w:themeColor="text1" w:themeTint="D8"/>
    </w:rPr>
  </w:style>
  <w:style w:type="paragraph" w:styleId="Nzev">
    <w:name w:val="Title"/>
    <w:basedOn w:val="Normln"/>
    <w:next w:val="Normln"/>
    <w:link w:val="NzevChar"/>
    <w:uiPriority w:val="10"/>
    <w:qFormat/>
    <w:rsid w:val="00BF00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F000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F000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F000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F000D"/>
    <w:pPr>
      <w:spacing w:before="160"/>
      <w:jc w:val="center"/>
    </w:pPr>
    <w:rPr>
      <w:i/>
      <w:iCs/>
      <w:color w:val="404040" w:themeColor="text1" w:themeTint="BF"/>
    </w:rPr>
  </w:style>
  <w:style w:type="character" w:customStyle="1" w:styleId="CittChar">
    <w:name w:val="Citát Char"/>
    <w:basedOn w:val="Standardnpsmoodstavce"/>
    <w:link w:val="Citt"/>
    <w:uiPriority w:val="29"/>
    <w:rsid w:val="00BF000D"/>
    <w:rPr>
      <w:i/>
      <w:iCs/>
      <w:color w:val="404040" w:themeColor="text1" w:themeTint="BF"/>
    </w:rPr>
  </w:style>
  <w:style w:type="paragraph" w:styleId="Odstavecseseznamem">
    <w:name w:val="List Paragraph"/>
    <w:basedOn w:val="Normln"/>
    <w:uiPriority w:val="34"/>
    <w:qFormat/>
    <w:rsid w:val="00BF000D"/>
    <w:pPr>
      <w:ind w:left="720"/>
      <w:contextualSpacing/>
    </w:pPr>
  </w:style>
  <w:style w:type="character" w:styleId="Zdraznnintenzivn">
    <w:name w:val="Intense Emphasis"/>
    <w:basedOn w:val="Standardnpsmoodstavce"/>
    <w:uiPriority w:val="21"/>
    <w:qFormat/>
    <w:rsid w:val="00BF000D"/>
    <w:rPr>
      <w:i/>
      <w:iCs/>
      <w:color w:val="0F4761" w:themeColor="accent1" w:themeShade="BF"/>
    </w:rPr>
  </w:style>
  <w:style w:type="paragraph" w:styleId="Vrazncitt">
    <w:name w:val="Intense Quote"/>
    <w:basedOn w:val="Normln"/>
    <w:next w:val="Normln"/>
    <w:link w:val="VrazncittChar"/>
    <w:uiPriority w:val="30"/>
    <w:qFormat/>
    <w:rsid w:val="00BF00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F000D"/>
    <w:rPr>
      <w:i/>
      <w:iCs/>
      <w:color w:val="0F4761" w:themeColor="accent1" w:themeShade="BF"/>
    </w:rPr>
  </w:style>
  <w:style w:type="character" w:styleId="Odkazintenzivn">
    <w:name w:val="Intense Reference"/>
    <w:basedOn w:val="Standardnpsmoodstavce"/>
    <w:uiPriority w:val="32"/>
    <w:qFormat/>
    <w:rsid w:val="00BF000D"/>
    <w:rPr>
      <w:b/>
      <w:bCs/>
      <w:smallCaps/>
      <w:color w:val="0F4761" w:themeColor="accent1" w:themeShade="BF"/>
      <w:spacing w:val="5"/>
    </w:rPr>
  </w:style>
  <w:style w:type="paragraph" w:styleId="Normlnweb">
    <w:name w:val="Normal (Web)"/>
    <w:basedOn w:val="Normln"/>
    <w:uiPriority w:val="99"/>
    <w:unhideWhenUsed/>
    <w:rsid w:val="00F3253D"/>
    <w:pPr>
      <w:spacing w:before="100" w:beforeAutospacing="1" w:after="100" w:afterAutospacing="1" w:line="240" w:lineRule="auto"/>
    </w:pPr>
    <w:rPr>
      <w:rFonts w:ascii="Times New Roman" w:eastAsia="Times New Roman" w:hAnsi="Times New Roman" w:cs="Times New Roman"/>
      <w:kern w:val="0"/>
      <w:sz w:val="24"/>
      <w:szCs w:val="24"/>
      <w:lang w:eastAsia="es-ES_tradnl"/>
    </w:rPr>
  </w:style>
  <w:style w:type="paragraph" w:customStyle="1" w:styleId="c01pointnumerotealtn">
    <w:name w:val="c01pointnumerotealtn"/>
    <w:basedOn w:val="Normln"/>
    <w:rsid w:val="00210F88"/>
    <w:pPr>
      <w:spacing w:before="100" w:beforeAutospacing="1" w:after="100" w:afterAutospacing="1" w:line="240" w:lineRule="auto"/>
    </w:pPr>
    <w:rPr>
      <w:rFonts w:ascii="Times New Roman" w:eastAsia="Times New Roman" w:hAnsi="Times New Roman" w:cs="Times New Roman"/>
      <w:kern w:val="0"/>
      <w:sz w:val="24"/>
      <w:szCs w:val="24"/>
      <w:lang w:eastAsia="fr-FR"/>
    </w:rPr>
  </w:style>
  <w:style w:type="paragraph" w:styleId="Zhlav">
    <w:name w:val="header"/>
    <w:basedOn w:val="Normln"/>
    <w:link w:val="ZhlavChar"/>
    <w:uiPriority w:val="99"/>
    <w:unhideWhenUsed/>
    <w:rsid w:val="001732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73270"/>
  </w:style>
  <w:style w:type="paragraph" w:styleId="Zpat">
    <w:name w:val="footer"/>
    <w:basedOn w:val="Normln"/>
    <w:link w:val="ZpatChar"/>
    <w:uiPriority w:val="99"/>
    <w:unhideWhenUsed/>
    <w:rsid w:val="00173270"/>
    <w:pPr>
      <w:tabs>
        <w:tab w:val="center" w:pos="4536"/>
        <w:tab w:val="right" w:pos="9072"/>
      </w:tabs>
      <w:spacing w:after="0" w:line="240" w:lineRule="auto"/>
    </w:pPr>
  </w:style>
  <w:style w:type="character" w:customStyle="1" w:styleId="ZpatChar">
    <w:name w:val="Zápatí Char"/>
    <w:basedOn w:val="Standardnpsmoodstavce"/>
    <w:link w:val="Zpat"/>
    <w:uiPriority w:val="99"/>
    <w:rsid w:val="00173270"/>
  </w:style>
  <w:style w:type="character" w:styleId="Hypertextovodkaz">
    <w:name w:val="Hyperlink"/>
    <w:basedOn w:val="Standardnpsmoodstavce"/>
    <w:uiPriority w:val="99"/>
    <w:unhideWhenUsed/>
    <w:rsid w:val="007B6432"/>
    <w:rPr>
      <w:color w:val="467886" w:themeColor="hyperlink"/>
      <w:u w:val="single"/>
    </w:rPr>
  </w:style>
  <w:style w:type="character" w:styleId="Nevyeenzmnka">
    <w:name w:val="Unresolved Mention"/>
    <w:basedOn w:val="Standardnpsmoodstavce"/>
    <w:uiPriority w:val="99"/>
    <w:semiHidden/>
    <w:unhideWhenUsed/>
    <w:rsid w:val="007B6432"/>
    <w:rPr>
      <w:color w:val="605E5C"/>
      <w:shd w:val="clear" w:color="auto" w:fill="E1DFDD"/>
    </w:rPr>
  </w:style>
  <w:style w:type="character" w:styleId="Sledovanodkaz">
    <w:name w:val="FollowedHyperlink"/>
    <w:basedOn w:val="Standardnpsmoodstavce"/>
    <w:uiPriority w:val="99"/>
    <w:semiHidden/>
    <w:unhideWhenUsed/>
    <w:rsid w:val="009A785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s://eur-lex.europa.eu/legal-content/CS/TXT/HTML/?uri=CELEX:62016CJ0684"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ur-lex.europa.eu/legal-content/CS/TXT/HTML/?uri=CELEX:62022CJ0218" TargetMode="External"/><Relationship Id="rId2" Type="http://schemas.openxmlformats.org/officeDocument/2006/relationships/customXml" Target="../customXml/item2.xml"/><Relationship Id="rId16" Type="http://schemas.openxmlformats.org/officeDocument/2006/relationships/hyperlink" Target="https://eur-lex.europa.eu/legal-content/CS/TXT/HTML/?uri=CELEX:62016CJ04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lex.europa.eu/legal-content/CS/TXT/HTML/?uri=CELEX:62014CJ0117"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CS/TXT/HTML/?uri=CELEX:62012CJ01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A6931C9968D945AA277EDB8A218FCF" ma:contentTypeVersion="18" ma:contentTypeDescription="Crée un document." ma:contentTypeScope="" ma:versionID="24a6dd99d959a29c0d19094bcaf9ef26">
  <xsd:schema xmlns:xsd="http://www.w3.org/2001/XMLSchema" xmlns:xs="http://www.w3.org/2001/XMLSchema" xmlns:p="http://schemas.microsoft.com/office/2006/metadata/properties" xmlns:ns2="78e59776-a062-41eb-82f2-f1f2863a73d1" xmlns:ns3="ad12b6c1-4208-40cd-a392-0a6ade77a50b" targetNamespace="http://schemas.microsoft.com/office/2006/metadata/properties" ma:root="true" ma:fieldsID="debb7080613cca79a2740f0018dcdbfd" ns2:_="" ns3:_="">
    <xsd:import namespace="78e59776-a062-41eb-82f2-f1f2863a73d1"/>
    <xsd:import namespace="ad12b6c1-4208-40cd-a392-0a6ade77a50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59776-a062-41eb-82f2-f1f2863a7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dd0a826-c279-4889-a048-289124af91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2b6c1-4208-40cd-a392-0a6ade77a50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b1e8af4-1589-49b2-806b-a7aa26539a7b}" ma:internalName="TaxCatchAll" ma:showField="CatchAllData" ma:web="ad12b6c1-4208-40cd-a392-0a6ade77a5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d12b6c1-4208-40cd-a392-0a6ade77a50b" xsi:nil="true"/>
    <lcf76f155ced4ddcb4097134ff3c332f xmlns="78e59776-a062-41eb-82f2-f1f2863a73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3D95C-96F5-44E6-989A-1DFC13A9F90C}">
  <ds:schemaRefs>
    <ds:schemaRef ds:uri="http://schemas.microsoft.com/sharepoint/v3/contenttype/forms"/>
  </ds:schemaRefs>
</ds:datastoreItem>
</file>

<file path=customXml/itemProps2.xml><?xml version="1.0" encoding="utf-8"?>
<ds:datastoreItem xmlns:ds="http://schemas.openxmlformats.org/officeDocument/2006/customXml" ds:itemID="{C4C4C676-772A-4ABD-B6D2-8ABCF8948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59776-a062-41eb-82f2-f1f2863a73d1"/>
    <ds:schemaRef ds:uri="ad12b6c1-4208-40cd-a392-0a6ade77a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F4368A-7876-49E9-9180-6EA3CEB41865}">
  <ds:schemaRefs>
    <ds:schemaRef ds:uri="http://schemas.microsoft.com/office/2006/metadata/properties"/>
    <ds:schemaRef ds:uri="http://schemas.microsoft.com/office/infopath/2007/PartnerControls"/>
    <ds:schemaRef ds:uri="ad12b6c1-4208-40cd-a392-0a6ade77a50b"/>
    <ds:schemaRef ds:uri="78e59776-a062-41eb-82f2-f1f2863a73d1"/>
  </ds:schemaRefs>
</ds:datastoreItem>
</file>

<file path=customXml/itemProps4.xml><?xml version="1.0" encoding="utf-8"?>
<ds:datastoreItem xmlns:ds="http://schemas.openxmlformats.org/officeDocument/2006/customXml" ds:itemID="{C552A1C4-FA5D-40F7-9DA2-9D0F20F6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11</Pages>
  <Words>3561</Words>
  <Characters>21011</Characters>
  <Application>Microsoft Office Word</Application>
  <DocSecurity>0</DocSecurity>
  <Lines>175</Lines>
  <Paragraphs>49</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MEZ</cp:lastModifiedBy>
  <cp:revision>106</cp:revision>
  <dcterms:created xsi:type="dcterms:W3CDTF">2024-10-09T12:35:00Z</dcterms:created>
  <dcterms:modified xsi:type="dcterms:W3CDTF">2025-10-22T06:22:00Z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0x0101004BA6931C9968D945AA277EDB8A218FCF</vt:lpwstr>
  </property>
  <property fmtid="{D5CDD505-2E9C-101B-9397-08002B2CF9AE}" pid="3" name="MediaServiceImageTags">
    <vt:lpwstr/>
  </property>
</Properties>
</file>